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A6BE" w14:textId="77777777" w:rsidR="009C25DD" w:rsidRDefault="009C25DD" w:rsidP="009C25DD">
      <w:pPr>
        <w:spacing w:after="120" w:line="360" w:lineRule="exact"/>
        <w:rPr>
          <w:rFonts w:ascii="Calibri" w:hAnsi="Calibri" w:cs="Calibri"/>
          <w:sz w:val="24"/>
          <w:szCs w:val="22"/>
        </w:rPr>
      </w:pPr>
      <w:r w:rsidRPr="009C25DD">
        <w:rPr>
          <w:rFonts w:ascii="Calibri" w:hAnsi="Calibri" w:cs="Calibri"/>
          <w:sz w:val="24"/>
          <w:szCs w:val="22"/>
        </w:rPr>
        <w:t>Speaker 1:</w:t>
      </w:r>
      <w:r w:rsidRPr="009C25DD">
        <w:rPr>
          <w:rFonts w:ascii="Calibri" w:hAnsi="Calibri" w:cs="Calibri"/>
          <w:sz w:val="24"/>
          <w:szCs w:val="22"/>
        </w:rPr>
        <w:tab/>
        <w:t>Welcome to the MIT CISR Research Briefing series. The Center for Information Systems Research is based at the Sloan School of Management at MIT. We study digital trans-formation.</w:t>
      </w:r>
    </w:p>
    <w:p w14:paraId="4BC91EB9" w14:textId="412B5954" w:rsidR="00FD537A" w:rsidRPr="009C25DD" w:rsidRDefault="009C25DD" w:rsidP="009C25DD">
      <w:pPr>
        <w:spacing w:after="120" w:line="360" w:lineRule="exact"/>
        <w:rPr>
          <w:rFonts w:ascii="Calibri" w:hAnsi="Calibri" w:cs="Calibri"/>
          <w:sz w:val="24"/>
          <w:szCs w:val="22"/>
        </w:rPr>
      </w:pPr>
      <w:r w:rsidRPr="009C25DD">
        <w:rPr>
          <w:rFonts w:ascii="Calibri" w:hAnsi="Calibri" w:cs="Calibri"/>
          <w:sz w:val="24"/>
          <w:szCs w:val="22"/>
        </w:rPr>
        <w:t xml:space="preserve">Nick van der Meulen: </w:t>
      </w:r>
      <w:r w:rsidRPr="009C25DD">
        <w:rPr>
          <w:rFonts w:ascii="Calibri" w:hAnsi="Calibri" w:cs="Calibri"/>
          <w:sz w:val="24"/>
          <w:szCs w:val="22"/>
        </w:rPr>
        <w:tab/>
      </w:r>
      <w:r w:rsidR="00FD537A" w:rsidRPr="009C25DD">
        <w:rPr>
          <w:rFonts w:ascii="Calibri" w:hAnsi="Calibri" w:cs="Calibri"/>
          <w:sz w:val="24"/>
          <w:szCs w:val="22"/>
        </w:rPr>
        <w:t xml:space="preserve">Hi, I’m Nick van der Meulen, a research scientist with MIT CISR. Today I’m </w:t>
      </w:r>
      <w:r w:rsidR="0012050F" w:rsidRPr="009C25DD">
        <w:rPr>
          <w:rFonts w:ascii="Calibri" w:hAnsi="Calibri" w:cs="Calibri"/>
          <w:sz w:val="24"/>
          <w:szCs w:val="22"/>
        </w:rPr>
        <w:t>excited</w:t>
      </w:r>
      <w:r w:rsidR="00FD537A" w:rsidRPr="009C25DD">
        <w:rPr>
          <w:rFonts w:ascii="Calibri" w:hAnsi="Calibri" w:cs="Calibri"/>
          <w:sz w:val="24"/>
          <w:szCs w:val="22"/>
        </w:rPr>
        <w:t xml:space="preserve"> to share with you the </w:t>
      </w:r>
      <w:r w:rsidR="0012050F" w:rsidRPr="009C25DD">
        <w:rPr>
          <w:rFonts w:ascii="Calibri" w:hAnsi="Calibri" w:cs="Calibri"/>
          <w:sz w:val="24"/>
          <w:szCs w:val="22"/>
        </w:rPr>
        <w:t>March</w:t>
      </w:r>
      <w:r w:rsidR="00FD537A" w:rsidRPr="009C25DD">
        <w:rPr>
          <w:rFonts w:ascii="Calibri" w:hAnsi="Calibri" w:cs="Calibri"/>
          <w:sz w:val="24"/>
          <w:szCs w:val="22"/>
        </w:rPr>
        <w:t xml:space="preserve"> 2026 research briefing that I co-authored with Jennifer </w:t>
      </w:r>
      <w:proofErr w:type="spellStart"/>
      <w:r w:rsidR="00FD537A" w:rsidRPr="009C25DD">
        <w:rPr>
          <w:rFonts w:ascii="Calibri" w:hAnsi="Calibri" w:cs="Calibri"/>
          <w:sz w:val="24"/>
          <w:szCs w:val="22"/>
        </w:rPr>
        <w:t>Jewer</w:t>
      </w:r>
      <w:proofErr w:type="spellEnd"/>
      <w:r w:rsidR="00FD537A" w:rsidRPr="009C25DD">
        <w:rPr>
          <w:rFonts w:ascii="Calibri" w:hAnsi="Calibri" w:cs="Calibri"/>
          <w:sz w:val="24"/>
          <w:szCs w:val="22"/>
        </w:rPr>
        <w:t xml:space="preserve"> and Nadège </w:t>
      </w:r>
      <w:proofErr w:type="spellStart"/>
      <w:r w:rsidR="00FD537A" w:rsidRPr="009C25DD">
        <w:rPr>
          <w:rFonts w:ascii="Calibri" w:hAnsi="Calibri" w:cs="Calibri"/>
          <w:sz w:val="24"/>
          <w:szCs w:val="22"/>
        </w:rPr>
        <w:t>Levallet</w:t>
      </w:r>
      <w:proofErr w:type="spellEnd"/>
      <w:r w:rsidR="00FD537A" w:rsidRPr="009C25DD">
        <w:rPr>
          <w:rFonts w:ascii="Calibri" w:hAnsi="Calibri" w:cs="Calibri"/>
          <w:sz w:val="24"/>
          <w:szCs w:val="22"/>
        </w:rPr>
        <w:t>—</w:t>
      </w:r>
    </w:p>
    <w:p w14:paraId="0A00372A" w14:textId="0FB5C812" w:rsidR="00FD00ED" w:rsidRPr="009C25DD" w:rsidRDefault="00000000" w:rsidP="009C25DD">
      <w:pPr>
        <w:spacing w:after="120" w:line="360" w:lineRule="exact"/>
        <w:rPr>
          <w:rFonts w:ascii="Calibri" w:hAnsi="Calibri" w:cs="Calibri"/>
          <w:sz w:val="24"/>
          <w:szCs w:val="22"/>
        </w:rPr>
      </w:pPr>
      <w:r w:rsidRPr="009C25DD">
        <w:rPr>
          <w:rFonts w:ascii="Calibri" w:hAnsi="Calibri" w:cs="Calibri"/>
          <w:sz w:val="24"/>
          <w:szCs w:val="22"/>
        </w:rPr>
        <w:t>Minimum Viable Governance for Generative AI</w:t>
      </w:r>
    </w:p>
    <w:p w14:paraId="51AB6EE3" w14:textId="65AB49F0" w:rsidR="00FD00ED" w:rsidRPr="009C25DD" w:rsidRDefault="00000000" w:rsidP="009C25DD">
      <w:pPr>
        <w:spacing w:after="120" w:line="360" w:lineRule="exact"/>
        <w:rPr>
          <w:rFonts w:ascii="Calibri" w:hAnsi="Calibri" w:cs="Calibri"/>
          <w:sz w:val="24"/>
          <w:szCs w:val="22"/>
        </w:rPr>
      </w:pPr>
      <w:r w:rsidRPr="009C25DD">
        <w:rPr>
          <w:rFonts w:ascii="Calibri" w:hAnsi="Calibri" w:cs="Calibri"/>
          <w:sz w:val="24"/>
          <w:szCs w:val="22"/>
        </w:rPr>
        <w:t>Organizations investing in generative artificial intelligence (</w:t>
      </w:r>
      <w:r w:rsidR="0012050F" w:rsidRPr="009C25DD">
        <w:rPr>
          <w:rFonts w:ascii="Calibri" w:hAnsi="Calibri" w:cs="Calibri"/>
          <w:sz w:val="24"/>
          <w:szCs w:val="22"/>
        </w:rPr>
        <w:t xml:space="preserve">or </w:t>
      </w:r>
      <w:r w:rsidRPr="009C25DD">
        <w:rPr>
          <w:rFonts w:ascii="Calibri" w:hAnsi="Calibri" w:cs="Calibri"/>
          <w:sz w:val="24"/>
          <w:szCs w:val="22"/>
        </w:rPr>
        <w:t xml:space="preserve">GenAI) face a dual challenge: understanding emergent risks from the </w:t>
      </w:r>
      <w:proofErr w:type="gramStart"/>
      <w:r w:rsidRPr="009C25DD">
        <w:rPr>
          <w:rFonts w:ascii="Calibri" w:hAnsi="Calibri" w:cs="Calibri"/>
          <w:sz w:val="24"/>
          <w:szCs w:val="22"/>
        </w:rPr>
        <w:t>technology, and</w:t>
      </w:r>
      <w:proofErr w:type="gramEnd"/>
      <w:r w:rsidRPr="009C25DD">
        <w:rPr>
          <w:rFonts w:ascii="Calibri" w:hAnsi="Calibri" w:cs="Calibri"/>
          <w:sz w:val="24"/>
          <w:szCs w:val="22"/>
        </w:rPr>
        <w:t xml:space="preserve"> putting mechanisms in place to manage these risks without stifling innovation. Many leaders are discovering that their organizations</w:t>
      </w:r>
      <w:r w:rsidR="006F1701" w:rsidRPr="009C25DD">
        <w:rPr>
          <w:rFonts w:ascii="Calibri" w:hAnsi="Calibri" w:cs="Calibri"/>
          <w:sz w:val="24"/>
          <w:szCs w:val="22"/>
        </w:rPr>
        <w:t>’</w:t>
      </w:r>
      <w:r w:rsidRPr="009C25DD">
        <w:rPr>
          <w:rFonts w:ascii="Calibri" w:hAnsi="Calibri" w:cs="Calibri"/>
          <w:sz w:val="24"/>
          <w:szCs w:val="22"/>
        </w:rPr>
        <w:t xml:space="preserve"> existing governance approaches are failing the second challenge. When applying traditional governance to GenAI, organizations find themselves oscillating between extremes: uncontrolled risk without governance, and paralysis with governance.</w:t>
      </w:r>
    </w:p>
    <w:p w14:paraId="38C9D4FB" w14:textId="3BF73B47" w:rsidR="00FD00ED" w:rsidRPr="009C25DD" w:rsidRDefault="00000000" w:rsidP="009C25DD">
      <w:pPr>
        <w:spacing w:after="120" w:line="360" w:lineRule="exact"/>
        <w:rPr>
          <w:rFonts w:ascii="Calibri" w:hAnsi="Calibri" w:cs="Calibri"/>
          <w:sz w:val="24"/>
          <w:szCs w:val="22"/>
        </w:rPr>
      </w:pPr>
      <w:r w:rsidRPr="009C25DD">
        <w:rPr>
          <w:rFonts w:ascii="Calibri" w:hAnsi="Calibri" w:cs="Calibri"/>
          <w:sz w:val="24"/>
          <w:szCs w:val="22"/>
        </w:rPr>
        <w:t>What organizations need instead is minimum viable governance: the least amount of governance required to manage risk effectively while enabling the organization to sense and seize opportunities. Drawing on an in-depth case study of an organization in a highly regulated environment and prior MIT CISR research, this briefing identifies what distinguishes minimum viable governance from prior governance approaches and explores the characteristics that leaders can use to evaluate and redesign their governance mechanisms</w:t>
      </w:r>
      <w:r w:rsidR="002367F1" w:rsidRPr="009C25DD">
        <w:rPr>
          <w:rFonts w:ascii="Calibri" w:hAnsi="Calibri" w:cs="Calibri"/>
          <w:sz w:val="24"/>
          <w:szCs w:val="22"/>
        </w:rPr>
        <w:t>.</w:t>
      </w:r>
    </w:p>
    <w:p w14:paraId="31FC64D8" w14:textId="4D2BD337" w:rsidR="00FD00ED" w:rsidRPr="009C25DD" w:rsidRDefault="00000000" w:rsidP="009C25DD">
      <w:pPr>
        <w:spacing w:after="120" w:line="360" w:lineRule="exact"/>
        <w:rPr>
          <w:rFonts w:ascii="Calibri" w:hAnsi="Calibri" w:cs="Calibri"/>
          <w:sz w:val="24"/>
          <w:szCs w:val="22"/>
        </w:rPr>
      </w:pPr>
      <w:r w:rsidRPr="009C25DD">
        <w:rPr>
          <w:rFonts w:ascii="Calibri" w:hAnsi="Calibri" w:cs="Calibri"/>
          <w:sz w:val="24"/>
          <w:szCs w:val="22"/>
        </w:rPr>
        <w:t xml:space="preserve">Why Traditional Governance Falls Short </w:t>
      </w:r>
    </w:p>
    <w:p w14:paraId="669E3435" w14:textId="521EA0BA" w:rsidR="002F7525" w:rsidRPr="009C25DD" w:rsidRDefault="002F7525" w:rsidP="009C25DD">
      <w:pPr>
        <w:spacing w:after="120" w:line="360" w:lineRule="exact"/>
        <w:rPr>
          <w:rFonts w:ascii="Calibri" w:hAnsi="Calibri" w:cs="Calibri"/>
          <w:sz w:val="24"/>
          <w:szCs w:val="22"/>
        </w:rPr>
      </w:pPr>
      <w:r w:rsidRPr="009C25DD">
        <w:rPr>
          <w:rFonts w:ascii="Calibri" w:hAnsi="Calibri" w:cs="Calibri"/>
          <w:sz w:val="24"/>
          <w:szCs w:val="22"/>
        </w:rPr>
        <w:t xml:space="preserve">Organizations govern technology through mechanisms that can be organized into five domains: principles, policies, people, processes, and platforms. Principles articulate guiding values; policies translate those values into enforceable rules. People are organized in structures with clear decision rights. Processes define repeatable workflows. And platforms provide the infrastructure to enforce governance and monitor the use of technology at scale. </w:t>
      </w:r>
      <w:r w:rsidR="00D038AD" w:rsidRPr="009C25DD">
        <w:rPr>
          <w:rFonts w:ascii="Calibri" w:hAnsi="Calibri" w:cs="Calibri"/>
          <w:sz w:val="24"/>
          <w:szCs w:val="22"/>
        </w:rPr>
        <w:t>When leaders perceive a governance gap, the instinct is to fill every domain as quickly and comprehensively as possible</w:t>
      </w:r>
      <w:r w:rsidR="006D3AEB" w:rsidRPr="009C25DD">
        <w:rPr>
          <w:rFonts w:ascii="Calibri" w:hAnsi="Calibri" w:cs="Calibri"/>
          <w:sz w:val="24"/>
          <w:szCs w:val="22"/>
        </w:rPr>
        <w:t xml:space="preserve">—which </w:t>
      </w:r>
      <w:r w:rsidR="00D038AD" w:rsidRPr="009C25DD">
        <w:rPr>
          <w:rFonts w:ascii="Calibri" w:hAnsi="Calibri" w:cs="Calibri"/>
          <w:sz w:val="24"/>
          <w:szCs w:val="22"/>
        </w:rPr>
        <w:t>carries its own risks</w:t>
      </w:r>
      <w:r w:rsidR="00081B24" w:rsidRPr="009C25DD">
        <w:rPr>
          <w:rFonts w:ascii="Calibri" w:hAnsi="Calibri" w:cs="Calibri"/>
          <w:sz w:val="24"/>
          <w:szCs w:val="22"/>
        </w:rPr>
        <w:t>.</w:t>
      </w:r>
    </w:p>
    <w:p w14:paraId="3AB58D22" w14:textId="4BA515D0" w:rsidR="00FD00ED" w:rsidRPr="009C25DD" w:rsidRDefault="00000000" w:rsidP="009C25DD">
      <w:pPr>
        <w:spacing w:after="120" w:line="360" w:lineRule="exact"/>
        <w:rPr>
          <w:rFonts w:ascii="Calibri" w:hAnsi="Calibri" w:cs="Calibri"/>
          <w:sz w:val="24"/>
          <w:szCs w:val="22"/>
        </w:rPr>
      </w:pPr>
      <w:r w:rsidRPr="009C25DD">
        <w:rPr>
          <w:rFonts w:ascii="Calibri" w:hAnsi="Calibri" w:cs="Calibri"/>
          <w:sz w:val="24"/>
          <w:szCs w:val="22"/>
        </w:rPr>
        <w:t xml:space="preserve">Consider </w:t>
      </w:r>
      <w:r w:rsidR="00991380" w:rsidRPr="009C25DD">
        <w:rPr>
          <w:rFonts w:ascii="Calibri" w:hAnsi="Calibri" w:cs="Calibri"/>
          <w:sz w:val="24"/>
          <w:szCs w:val="22"/>
        </w:rPr>
        <w:t xml:space="preserve">the experience of </w:t>
      </w:r>
      <w:proofErr w:type="spellStart"/>
      <w:r w:rsidRPr="009C25DD">
        <w:rPr>
          <w:rFonts w:ascii="Calibri" w:hAnsi="Calibri" w:cs="Calibri"/>
          <w:sz w:val="24"/>
          <w:szCs w:val="22"/>
        </w:rPr>
        <w:t>FinCo</w:t>
      </w:r>
      <w:proofErr w:type="spellEnd"/>
      <w:r w:rsidRPr="009C25DD">
        <w:rPr>
          <w:rFonts w:ascii="Calibri" w:hAnsi="Calibri" w:cs="Calibri"/>
          <w:sz w:val="24"/>
          <w:szCs w:val="22"/>
        </w:rPr>
        <w:t>, a global diversified financial services firm</w:t>
      </w:r>
      <w:r w:rsidR="0012050F" w:rsidRPr="009C25DD">
        <w:rPr>
          <w:rFonts w:ascii="Calibri" w:hAnsi="Calibri" w:cs="Calibri"/>
          <w:sz w:val="24"/>
          <w:szCs w:val="22"/>
        </w:rPr>
        <w:t xml:space="preserve"> (which we have anonymized here to share its lessons candidly)</w:t>
      </w:r>
      <w:r w:rsidRPr="009C25DD">
        <w:rPr>
          <w:rFonts w:ascii="Calibri" w:hAnsi="Calibri" w:cs="Calibri"/>
          <w:sz w:val="24"/>
          <w:szCs w:val="22"/>
        </w:rPr>
        <w:t xml:space="preserve">. When GenAI emerged in late 2022, employees across </w:t>
      </w:r>
      <w:proofErr w:type="spellStart"/>
      <w:r w:rsidRPr="009C25DD">
        <w:rPr>
          <w:rFonts w:ascii="Calibri" w:hAnsi="Calibri" w:cs="Calibri"/>
          <w:sz w:val="24"/>
          <w:szCs w:val="22"/>
        </w:rPr>
        <w:t>FinCo</w:t>
      </w:r>
      <w:r w:rsidR="006F1701" w:rsidRPr="009C25DD">
        <w:rPr>
          <w:rFonts w:ascii="Calibri" w:hAnsi="Calibri" w:cs="Calibri"/>
          <w:sz w:val="24"/>
          <w:szCs w:val="22"/>
        </w:rPr>
        <w:t>’</w:t>
      </w:r>
      <w:r w:rsidRPr="009C25DD">
        <w:rPr>
          <w:rFonts w:ascii="Calibri" w:hAnsi="Calibri" w:cs="Calibri"/>
          <w:sz w:val="24"/>
          <w:szCs w:val="22"/>
        </w:rPr>
        <w:t>s</w:t>
      </w:r>
      <w:proofErr w:type="spellEnd"/>
      <w:r w:rsidRPr="009C25DD">
        <w:rPr>
          <w:rFonts w:ascii="Calibri" w:hAnsi="Calibri" w:cs="Calibri"/>
          <w:sz w:val="24"/>
          <w:szCs w:val="22"/>
        </w:rPr>
        <w:t xml:space="preserve"> federated business units quickly began experimenting with it independently—drafting client communications, summarizing reports, generating marketing copy—using unsanctioned GenAI tools. Risk-sensitive executives became alarmed. In an industry where data breaches and regulatory violations carry existential consequences, the executives moved swiftly to establish formal governance.</w:t>
      </w:r>
    </w:p>
    <w:p w14:paraId="61F422F2" w14:textId="2E020E16" w:rsidR="00FD00ED" w:rsidRPr="009C25DD" w:rsidRDefault="00000000" w:rsidP="009C25DD">
      <w:pPr>
        <w:spacing w:after="120" w:line="360" w:lineRule="exact"/>
        <w:rPr>
          <w:rFonts w:ascii="Calibri" w:hAnsi="Calibri" w:cs="Calibri"/>
          <w:sz w:val="24"/>
          <w:szCs w:val="22"/>
        </w:rPr>
      </w:pPr>
      <w:proofErr w:type="spellStart"/>
      <w:r w:rsidRPr="009C25DD">
        <w:rPr>
          <w:rFonts w:ascii="Calibri" w:hAnsi="Calibri" w:cs="Calibri"/>
          <w:sz w:val="24"/>
          <w:szCs w:val="22"/>
        </w:rPr>
        <w:lastRenderedPageBreak/>
        <w:t>FinCo</w:t>
      </w:r>
      <w:r w:rsidR="006F1701" w:rsidRPr="009C25DD">
        <w:rPr>
          <w:rFonts w:ascii="Calibri" w:hAnsi="Calibri" w:cs="Calibri"/>
          <w:sz w:val="24"/>
          <w:szCs w:val="22"/>
        </w:rPr>
        <w:t>’</w:t>
      </w:r>
      <w:r w:rsidRPr="009C25DD">
        <w:rPr>
          <w:rFonts w:ascii="Calibri" w:hAnsi="Calibri" w:cs="Calibri"/>
          <w:sz w:val="24"/>
          <w:szCs w:val="22"/>
        </w:rPr>
        <w:t>s</w:t>
      </w:r>
      <w:proofErr w:type="spellEnd"/>
      <w:r w:rsidRPr="009C25DD">
        <w:rPr>
          <w:rFonts w:ascii="Calibri" w:hAnsi="Calibri" w:cs="Calibri"/>
          <w:sz w:val="24"/>
          <w:szCs w:val="22"/>
        </w:rPr>
        <w:t xml:space="preserve"> response was broad in scope</w:t>
      </w:r>
      <w:r w:rsidR="00991380" w:rsidRPr="009C25DD">
        <w:rPr>
          <w:rFonts w:ascii="Calibri" w:hAnsi="Calibri" w:cs="Calibri"/>
          <w:sz w:val="24"/>
          <w:szCs w:val="22"/>
        </w:rPr>
        <w:t xml:space="preserve">, with the firm </w:t>
      </w:r>
      <w:proofErr w:type="gramStart"/>
      <w:r w:rsidR="00991380" w:rsidRPr="009C25DD">
        <w:rPr>
          <w:rFonts w:ascii="Calibri" w:hAnsi="Calibri" w:cs="Calibri"/>
          <w:sz w:val="24"/>
          <w:szCs w:val="22"/>
        </w:rPr>
        <w:t>taking action</w:t>
      </w:r>
      <w:proofErr w:type="gramEnd"/>
      <w:r w:rsidR="00991380" w:rsidRPr="009C25DD">
        <w:rPr>
          <w:rFonts w:ascii="Calibri" w:hAnsi="Calibri" w:cs="Calibri"/>
          <w:sz w:val="24"/>
          <w:szCs w:val="22"/>
        </w:rPr>
        <w:t xml:space="preserve"> in all five of the governance domains</w:t>
      </w:r>
      <w:r w:rsidRPr="009C25DD">
        <w:rPr>
          <w:rFonts w:ascii="Calibri" w:hAnsi="Calibri" w:cs="Calibri"/>
          <w:sz w:val="24"/>
          <w:szCs w:val="22"/>
        </w:rPr>
        <w:t xml:space="preserve">. Corporate </w:t>
      </w:r>
      <w:r w:rsidR="00A81372" w:rsidRPr="009C25DD">
        <w:rPr>
          <w:rFonts w:ascii="Calibri" w:hAnsi="Calibri" w:cs="Calibri"/>
          <w:sz w:val="24"/>
          <w:szCs w:val="22"/>
        </w:rPr>
        <w:t>d</w:t>
      </w:r>
      <w:r w:rsidRPr="009C25DD">
        <w:rPr>
          <w:rFonts w:ascii="Calibri" w:hAnsi="Calibri" w:cs="Calibri"/>
          <w:sz w:val="24"/>
          <w:szCs w:val="22"/>
        </w:rPr>
        <w:t xml:space="preserve">ata, IT, and </w:t>
      </w:r>
      <w:r w:rsidR="00A81372" w:rsidRPr="009C25DD">
        <w:rPr>
          <w:rFonts w:ascii="Calibri" w:hAnsi="Calibri" w:cs="Calibri"/>
          <w:sz w:val="24"/>
          <w:szCs w:val="22"/>
        </w:rPr>
        <w:t>ethics</w:t>
      </w:r>
      <w:r w:rsidRPr="009C25DD">
        <w:rPr>
          <w:rFonts w:ascii="Calibri" w:hAnsi="Calibri" w:cs="Calibri"/>
          <w:sz w:val="24"/>
          <w:szCs w:val="22"/>
        </w:rPr>
        <w:t xml:space="preserve"> units collaborated on principles for responsible AI use, articulating guiding values such as no automated decision-making and privacy by design. </w:t>
      </w:r>
      <w:proofErr w:type="spellStart"/>
      <w:r w:rsidR="00991380" w:rsidRPr="009C25DD">
        <w:rPr>
          <w:rFonts w:ascii="Calibri" w:hAnsi="Calibri" w:cs="Calibri"/>
          <w:sz w:val="24"/>
          <w:szCs w:val="22"/>
        </w:rPr>
        <w:t>FinCo’s</w:t>
      </w:r>
      <w:proofErr w:type="spellEnd"/>
      <w:r w:rsidR="00991380" w:rsidRPr="009C25DD">
        <w:rPr>
          <w:rFonts w:ascii="Calibri" w:hAnsi="Calibri" w:cs="Calibri"/>
          <w:sz w:val="24"/>
          <w:szCs w:val="22"/>
        </w:rPr>
        <w:t xml:space="preserve"> </w:t>
      </w:r>
      <w:r w:rsidRPr="009C25DD">
        <w:rPr>
          <w:rFonts w:ascii="Calibri" w:hAnsi="Calibri" w:cs="Calibri"/>
          <w:sz w:val="24"/>
          <w:szCs w:val="22"/>
        </w:rPr>
        <w:t xml:space="preserve">board then requested a comprehensive enterprise AI policy to translate those values into enforceable rules, which took close to a year and involved hundreds of stakeholders. For use case oversight, </w:t>
      </w:r>
      <w:proofErr w:type="spellStart"/>
      <w:r w:rsidRPr="009C25DD">
        <w:rPr>
          <w:rFonts w:ascii="Calibri" w:hAnsi="Calibri" w:cs="Calibri"/>
          <w:sz w:val="24"/>
          <w:szCs w:val="22"/>
        </w:rPr>
        <w:t>FinCo</w:t>
      </w:r>
      <w:proofErr w:type="spellEnd"/>
      <w:r w:rsidRPr="009C25DD">
        <w:rPr>
          <w:rFonts w:ascii="Calibri" w:hAnsi="Calibri" w:cs="Calibri"/>
          <w:sz w:val="24"/>
          <w:szCs w:val="22"/>
        </w:rPr>
        <w:t xml:space="preserve"> established AI Review Committees</w:t>
      </w:r>
      <w:r w:rsidR="007B3630" w:rsidRPr="009C25DD">
        <w:rPr>
          <w:rFonts w:ascii="Calibri" w:hAnsi="Calibri" w:cs="Calibri"/>
          <w:sz w:val="24"/>
          <w:szCs w:val="22"/>
        </w:rPr>
        <w:t>, known as</w:t>
      </w:r>
      <w:r w:rsidR="0012050F" w:rsidRPr="009C25DD">
        <w:rPr>
          <w:rFonts w:ascii="Calibri" w:hAnsi="Calibri" w:cs="Calibri"/>
          <w:sz w:val="24"/>
          <w:szCs w:val="22"/>
        </w:rPr>
        <w:t xml:space="preserve"> </w:t>
      </w:r>
      <w:r w:rsidRPr="009C25DD">
        <w:rPr>
          <w:rFonts w:ascii="Calibri" w:hAnsi="Calibri" w:cs="Calibri"/>
          <w:sz w:val="24"/>
          <w:szCs w:val="22"/>
        </w:rPr>
        <w:t xml:space="preserve">ARCs: people organized in formal cross-functional structures with clear decision rights. The ARCs reviewed proposals through a repeatable process in which risk ratings determined routing. Regional ARCs handled low- and medium-risk cases monthly; a </w:t>
      </w:r>
      <w:r w:rsidR="00991380" w:rsidRPr="009C25DD">
        <w:rPr>
          <w:rFonts w:ascii="Calibri" w:hAnsi="Calibri" w:cs="Calibri"/>
          <w:sz w:val="24"/>
          <w:szCs w:val="22"/>
        </w:rPr>
        <w:t>corporate</w:t>
      </w:r>
      <w:r w:rsidRPr="009C25DD">
        <w:rPr>
          <w:rFonts w:ascii="Calibri" w:hAnsi="Calibri" w:cs="Calibri"/>
          <w:sz w:val="24"/>
          <w:szCs w:val="22"/>
        </w:rPr>
        <w:t xml:space="preserve"> ARC reviewed high-risk proposals quarterly. Finally, </w:t>
      </w:r>
      <w:proofErr w:type="spellStart"/>
      <w:r w:rsidRPr="009C25DD">
        <w:rPr>
          <w:rFonts w:ascii="Calibri" w:hAnsi="Calibri" w:cs="Calibri"/>
          <w:sz w:val="24"/>
          <w:szCs w:val="22"/>
        </w:rPr>
        <w:t>FinCo</w:t>
      </w:r>
      <w:proofErr w:type="spellEnd"/>
      <w:r w:rsidRPr="009C25DD">
        <w:rPr>
          <w:rFonts w:ascii="Calibri" w:hAnsi="Calibri" w:cs="Calibri"/>
          <w:sz w:val="24"/>
          <w:szCs w:val="22"/>
        </w:rPr>
        <w:t xml:space="preserve"> also built controls into its platforms, such as </w:t>
      </w:r>
      <w:proofErr w:type="spellStart"/>
      <w:r w:rsidRPr="009C25DD">
        <w:rPr>
          <w:rFonts w:ascii="Calibri" w:hAnsi="Calibri" w:cs="Calibri"/>
          <w:sz w:val="24"/>
          <w:szCs w:val="22"/>
        </w:rPr>
        <w:t>FinGPT</w:t>
      </w:r>
      <w:proofErr w:type="spellEnd"/>
      <w:r w:rsidRPr="009C25DD">
        <w:rPr>
          <w:rFonts w:ascii="Calibri" w:hAnsi="Calibri" w:cs="Calibri"/>
          <w:sz w:val="24"/>
          <w:szCs w:val="22"/>
        </w:rPr>
        <w:t>, a secure internal wrapper for approved large language models designed for safe experimentation.</w:t>
      </w:r>
    </w:p>
    <w:p w14:paraId="6DED96B2" w14:textId="607E0617" w:rsidR="00FD00ED" w:rsidRPr="009C25DD" w:rsidRDefault="00000000" w:rsidP="009C25DD">
      <w:pPr>
        <w:spacing w:after="120" w:line="360" w:lineRule="exact"/>
        <w:rPr>
          <w:rFonts w:ascii="Calibri" w:hAnsi="Calibri" w:cs="Calibri"/>
          <w:sz w:val="24"/>
          <w:szCs w:val="22"/>
        </w:rPr>
      </w:pPr>
      <w:r w:rsidRPr="009C25DD">
        <w:rPr>
          <w:rFonts w:ascii="Calibri" w:hAnsi="Calibri" w:cs="Calibri"/>
          <w:sz w:val="24"/>
          <w:szCs w:val="22"/>
        </w:rPr>
        <w:t xml:space="preserve">By any conventional measure, </w:t>
      </w:r>
      <w:proofErr w:type="spellStart"/>
      <w:r w:rsidRPr="009C25DD">
        <w:rPr>
          <w:rFonts w:ascii="Calibri" w:hAnsi="Calibri" w:cs="Calibri"/>
          <w:sz w:val="24"/>
          <w:szCs w:val="22"/>
        </w:rPr>
        <w:t>FinCo</w:t>
      </w:r>
      <w:r w:rsidR="006F1701" w:rsidRPr="009C25DD">
        <w:rPr>
          <w:rFonts w:ascii="Calibri" w:hAnsi="Calibri" w:cs="Calibri"/>
          <w:sz w:val="24"/>
          <w:szCs w:val="22"/>
        </w:rPr>
        <w:t>’</w:t>
      </w:r>
      <w:r w:rsidRPr="009C25DD">
        <w:rPr>
          <w:rFonts w:ascii="Calibri" w:hAnsi="Calibri" w:cs="Calibri"/>
          <w:sz w:val="24"/>
          <w:szCs w:val="22"/>
        </w:rPr>
        <w:t>s</w:t>
      </w:r>
      <w:proofErr w:type="spellEnd"/>
      <w:r w:rsidRPr="009C25DD">
        <w:rPr>
          <w:rFonts w:ascii="Calibri" w:hAnsi="Calibri" w:cs="Calibri"/>
          <w:sz w:val="24"/>
          <w:szCs w:val="22"/>
        </w:rPr>
        <w:t xml:space="preserve"> governance was thorough. A year later, innovation had ground to a halt. The comprehensive policy was already outdated by the time it was complete. Low-risk proposals stalled for months in ARC review cycles</w:t>
      </w:r>
      <w:r w:rsidR="00E81C8B" w:rsidRPr="009C25DD">
        <w:rPr>
          <w:rFonts w:ascii="Calibri" w:hAnsi="Calibri" w:cs="Calibri"/>
          <w:sz w:val="24"/>
          <w:szCs w:val="22"/>
        </w:rPr>
        <w:t xml:space="preserve">; </w:t>
      </w:r>
      <w:r w:rsidR="008F6499" w:rsidRPr="009C25DD">
        <w:rPr>
          <w:rFonts w:ascii="Calibri" w:hAnsi="Calibri" w:cs="Calibri"/>
          <w:sz w:val="24"/>
          <w:szCs w:val="22"/>
        </w:rPr>
        <w:t xml:space="preserve">for example, </w:t>
      </w:r>
      <w:r w:rsidRPr="009C25DD">
        <w:rPr>
          <w:rFonts w:ascii="Calibri" w:hAnsi="Calibri" w:cs="Calibri"/>
          <w:sz w:val="24"/>
          <w:szCs w:val="22"/>
        </w:rPr>
        <w:t xml:space="preserve">a low-risk agent prototype involving no sensitive data took six months to be approved. Employees needed sign-off from both </w:t>
      </w:r>
      <w:r w:rsidR="00A81372" w:rsidRPr="009C25DD">
        <w:rPr>
          <w:rFonts w:ascii="Calibri" w:hAnsi="Calibri" w:cs="Calibri"/>
          <w:sz w:val="24"/>
          <w:szCs w:val="22"/>
        </w:rPr>
        <w:t>the l</w:t>
      </w:r>
      <w:r w:rsidRPr="009C25DD">
        <w:rPr>
          <w:rFonts w:ascii="Calibri" w:hAnsi="Calibri" w:cs="Calibri"/>
          <w:sz w:val="24"/>
          <w:szCs w:val="22"/>
        </w:rPr>
        <w:t>egal</w:t>
      </w:r>
      <w:r w:rsidR="00A81372" w:rsidRPr="009C25DD">
        <w:rPr>
          <w:rFonts w:ascii="Calibri" w:hAnsi="Calibri" w:cs="Calibri"/>
          <w:sz w:val="24"/>
          <w:szCs w:val="22"/>
        </w:rPr>
        <w:t xml:space="preserve"> team</w:t>
      </w:r>
      <w:r w:rsidRPr="009C25DD">
        <w:rPr>
          <w:rFonts w:ascii="Calibri" w:hAnsi="Calibri" w:cs="Calibri"/>
          <w:sz w:val="24"/>
          <w:szCs w:val="22"/>
        </w:rPr>
        <w:t xml:space="preserve"> and the relevant ARC just to access </w:t>
      </w:r>
      <w:proofErr w:type="spellStart"/>
      <w:r w:rsidRPr="009C25DD">
        <w:rPr>
          <w:rFonts w:ascii="Calibri" w:hAnsi="Calibri" w:cs="Calibri"/>
          <w:sz w:val="24"/>
          <w:szCs w:val="22"/>
        </w:rPr>
        <w:t>FinGPT</w:t>
      </w:r>
      <w:proofErr w:type="spellEnd"/>
      <w:r w:rsidRPr="009C25DD">
        <w:rPr>
          <w:rFonts w:ascii="Calibri" w:hAnsi="Calibri" w:cs="Calibri"/>
          <w:sz w:val="24"/>
          <w:szCs w:val="22"/>
        </w:rPr>
        <w:t>, a platform that was already designed for safe experimentation. Business sponsors of GenAI initiatives faced committees where risk-oriented voices consistently outnumbered those advocating for pursuing new opportunities. Frustrated teams reverted to unsanctioned GenAI tools. GenAI vendors pitched solutions directly to business leaders who couldn</w:t>
      </w:r>
      <w:r w:rsidR="006F1701" w:rsidRPr="009C25DD">
        <w:rPr>
          <w:rFonts w:ascii="Calibri" w:hAnsi="Calibri" w:cs="Calibri"/>
          <w:sz w:val="24"/>
          <w:szCs w:val="22"/>
        </w:rPr>
        <w:t>’</w:t>
      </w:r>
      <w:r w:rsidRPr="009C25DD">
        <w:rPr>
          <w:rFonts w:ascii="Calibri" w:hAnsi="Calibri" w:cs="Calibri"/>
          <w:sz w:val="24"/>
          <w:szCs w:val="22"/>
        </w:rPr>
        <w:t xml:space="preserve">t get traction through official channels. Shadow GenAI—the unauthorized use of GenAI tools and solutions—spread more widely than before. The board, recognizing that </w:t>
      </w:r>
      <w:proofErr w:type="spellStart"/>
      <w:r w:rsidRPr="009C25DD">
        <w:rPr>
          <w:rFonts w:ascii="Calibri" w:hAnsi="Calibri" w:cs="Calibri"/>
          <w:sz w:val="24"/>
          <w:szCs w:val="22"/>
        </w:rPr>
        <w:t>FinCo</w:t>
      </w:r>
      <w:proofErr w:type="spellEnd"/>
      <w:r w:rsidRPr="009C25DD">
        <w:rPr>
          <w:rFonts w:ascii="Calibri" w:hAnsi="Calibri" w:cs="Calibri"/>
          <w:sz w:val="24"/>
          <w:szCs w:val="22"/>
        </w:rPr>
        <w:t xml:space="preserve"> had swung from unchecked adoption to paralysis—only to see unsanctioned use return—issued an urgent mandate to redesign the organization</w:t>
      </w:r>
      <w:r w:rsidR="006F1701" w:rsidRPr="009C25DD">
        <w:rPr>
          <w:rFonts w:ascii="Calibri" w:hAnsi="Calibri" w:cs="Calibri"/>
          <w:sz w:val="24"/>
          <w:szCs w:val="22"/>
        </w:rPr>
        <w:t>’</w:t>
      </w:r>
      <w:r w:rsidRPr="009C25DD">
        <w:rPr>
          <w:rFonts w:ascii="Calibri" w:hAnsi="Calibri" w:cs="Calibri"/>
          <w:sz w:val="24"/>
          <w:szCs w:val="22"/>
        </w:rPr>
        <w:t>s governance approach.</w:t>
      </w:r>
    </w:p>
    <w:p w14:paraId="4EBB235F" w14:textId="6EBB68DE" w:rsidR="00FD00ED" w:rsidRPr="009C25DD" w:rsidRDefault="00000000" w:rsidP="009C25DD">
      <w:pPr>
        <w:spacing w:after="120" w:line="360" w:lineRule="exact"/>
        <w:rPr>
          <w:rFonts w:ascii="Calibri" w:hAnsi="Calibri" w:cs="Calibri"/>
          <w:sz w:val="24"/>
          <w:szCs w:val="22"/>
        </w:rPr>
      </w:pPr>
      <w:proofErr w:type="spellStart"/>
      <w:r w:rsidRPr="009C25DD">
        <w:rPr>
          <w:rFonts w:ascii="Calibri" w:hAnsi="Calibri" w:cs="Calibri"/>
          <w:sz w:val="24"/>
          <w:szCs w:val="22"/>
        </w:rPr>
        <w:t>FinCo</w:t>
      </w:r>
      <w:proofErr w:type="spellEnd"/>
      <w:r w:rsidRPr="009C25DD">
        <w:rPr>
          <w:rFonts w:ascii="Calibri" w:hAnsi="Calibri" w:cs="Calibri"/>
          <w:sz w:val="24"/>
          <w:szCs w:val="22"/>
        </w:rPr>
        <w:t xml:space="preserve"> had mechanisms in every domain. The question is whether those mechanisms were suited to GenAI</w:t>
      </w:r>
      <w:r w:rsidR="006F1701" w:rsidRPr="009C25DD">
        <w:rPr>
          <w:rFonts w:ascii="Calibri" w:hAnsi="Calibri" w:cs="Calibri"/>
          <w:sz w:val="24"/>
          <w:szCs w:val="22"/>
        </w:rPr>
        <w:t>’</w:t>
      </w:r>
      <w:r w:rsidRPr="009C25DD">
        <w:rPr>
          <w:rFonts w:ascii="Calibri" w:hAnsi="Calibri" w:cs="Calibri"/>
          <w:sz w:val="24"/>
          <w:szCs w:val="22"/>
        </w:rPr>
        <w:t xml:space="preserve">s unique demands. </w:t>
      </w:r>
      <w:r w:rsidR="00274B17" w:rsidRPr="009C25DD">
        <w:rPr>
          <w:rFonts w:ascii="Calibri" w:hAnsi="Calibri" w:cs="Calibri"/>
          <w:sz w:val="24"/>
          <w:szCs w:val="22"/>
        </w:rPr>
        <w:t xml:space="preserve">Traditional governance assumes stable technologies, predictable risks, and manageable demand for a new technology. GenAI upends these assumptions. Its </w:t>
      </w:r>
      <w:r w:rsidRPr="009C25DD">
        <w:rPr>
          <w:rFonts w:ascii="Calibri" w:hAnsi="Calibri" w:cs="Calibri"/>
          <w:sz w:val="24"/>
          <w:szCs w:val="22"/>
        </w:rPr>
        <w:t>natural language interface, ubiquitous availability, and broad applicability fuel adoption that outpaces any organization</w:t>
      </w:r>
      <w:r w:rsidR="006F1701" w:rsidRPr="009C25DD">
        <w:rPr>
          <w:rFonts w:ascii="Calibri" w:hAnsi="Calibri" w:cs="Calibri"/>
          <w:sz w:val="24"/>
          <w:szCs w:val="22"/>
        </w:rPr>
        <w:t>’</w:t>
      </w:r>
      <w:r w:rsidRPr="009C25DD">
        <w:rPr>
          <w:rFonts w:ascii="Calibri" w:hAnsi="Calibri" w:cs="Calibri"/>
          <w:sz w:val="24"/>
          <w:szCs w:val="22"/>
        </w:rPr>
        <w:t xml:space="preserve">s capacity for centralized review. Simultaneously, probabilistic models, performance drift, and compounding risk across interdependent components create a risk space that shifts faster than leaders can anticipate. As one </w:t>
      </w:r>
      <w:proofErr w:type="spellStart"/>
      <w:r w:rsidRPr="009C25DD">
        <w:rPr>
          <w:rFonts w:ascii="Calibri" w:hAnsi="Calibri" w:cs="Calibri"/>
          <w:sz w:val="24"/>
          <w:szCs w:val="22"/>
        </w:rPr>
        <w:t>FinCo</w:t>
      </w:r>
      <w:proofErr w:type="spellEnd"/>
      <w:r w:rsidRPr="009C25DD">
        <w:rPr>
          <w:rFonts w:ascii="Calibri" w:hAnsi="Calibri" w:cs="Calibri"/>
          <w:sz w:val="24"/>
          <w:szCs w:val="22"/>
        </w:rPr>
        <w:t xml:space="preserve"> executive observed, </w:t>
      </w:r>
      <w:r w:rsidR="002367F1" w:rsidRPr="009C25DD">
        <w:rPr>
          <w:rFonts w:ascii="Calibri" w:hAnsi="Calibri" w:cs="Calibri"/>
          <w:sz w:val="24"/>
          <w:szCs w:val="22"/>
        </w:rPr>
        <w:t>“</w:t>
      </w:r>
      <w:r w:rsidR="008F6499" w:rsidRPr="009C25DD">
        <w:rPr>
          <w:rFonts w:ascii="Calibri" w:hAnsi="Calibri" w:cs="Calibri"/>
          <w:sz w:val="24"/>
          <w:szCs w:val="22"/>
        </w:rPr>
        <w:t xml:space="preserve">Governance </w:t>
      </w:r>
      <w:r w:rsidRPr="009C25DD">
        <w:rPr>
          <w:rFonts w:ascii="Calibri" w:hAnsi="Calibri" w:cs="Calibri"/>
          <w:sz w:val="24"/>
          <w:szCs w:val="22"/>
        </w:rPr>
        <w:t>designed for technologies with 50-year life cycles doesn</w:t>
      </w:r>
      <w:r w:rsidR="006F1701" w:rsidRPr="009C25DD">
        <w:rPr>
          <w:rFonts w:ascii="Calibri" w:hAnsi="Calibri" w:cs="Calibri"/>
          <w:sz w:val="24"/>
          <w:szCs w:val="22"/>
        </w:rPr>
        <w:t>’</w:t>
      </w:r>
      <w:r w:rsidRPr="009C25DD">
        <w:rPr>
          <w:rFonts w:ascii="Calibri" w:hAnsi="Calibri" w:cs="Calibri"/>
          <w:sz w:val="24"/>
          <w:szCs w:val="22"/>
        </w:rPr>
        <w:t>t work when the technology itself transforms every 18 months.”</w:t>
      </w:r>
    </w:p>
    <w:p w14:paraId="13929DFC" w14:textId="77777777" w:rsidR="00FD00ED" w:rsidRPr="009C25DD" w:rsidRDefault="00000000" w:rsidP="009C25DD">
      <w:pPr>
        <w:spacing w:after="120" w:line="360" w:lineRule="exact"/>
        <w:rPr>
          <w:rFonts w:ascii="Calibri" w:hAnsi="Calibri" w:cs="Calibri"/>
          <w:sz w:val="24"/>
          <w:szCs w:val="22"/>
        </w:rPr>
      </w:pPr>
      <w:r w:rsidRPr="009C25DD">
        <w:rPr>
          <w:rFonts w:ascii="Calibri" w:hAnsi="Calibri" w:cs="Calibri"/>
          <w:sz w:val="24"/>
          <w:szCs w:val="22"/>
        </w:rPr>
        <w:t>Four Characteristics of Minimum Viable Governance</w:t>
      </w:r>
    </w:p>
    <w:p w14:paraId="6FC2CA26" w14:textId="3DF2DCF4" w:rsidR="007B23AF" w:rsidRPr="009C25DD" w:rsidRDefault="007B23AF" w:rsidP="009C25DD">
      <w:pPr>
        <w:spacing w:after="120" w:line="360" w:lineRule="exact"/>
        <w:rPr>
          <w:rFonts w:ascii="Calibri" w:hAnsi="Calibri" w:cs="Calibri"/>
          <w:sz w:val="24"/>
          <w:szCs w:val="22"/>
        </w:rPr>
      </w:pPr>
      <w:r w:rsidRPr="009C25DD">
        <w:rPr>
          <w:rFonts w:ascii="Calibri" w:hAnsi="Calibri" w:cs="Calibri"/>
          <w:sz w:val="24"/>
          <w:szCs w:val="22"/>
        </w:rPr>
        <w:lastRenderedPageBreak/>
        <w:t xml:space="preserve">The answer is governance that calibrates to what it governs. Minimum viable governance builds on the MIT CISR concept of minimum viable policy, which showed that foundational principles can reduce the need for comprehensive policies, giving teams greater operational decision rights while safeguarding business continuity. In our research, organizations with well-developed minimum viable policy practices cut the average time to make complex decisions in half, and their teams identified new opportunities at three times the rate of peers without such practices. Minimum viable governance applies this philosophy of governing at the minimum level required across all five governance domains. </w:t>
      </w:r>
      <w:r w:rsidR="007B3630" w:rsidRPr="009C25DD">
        <w:rPr>
          <w:rFonts w:ascii="Calibri" w:hAnsi="Calibri" w:cs="Calibri"/>
          <w:sz w:val="24"/>
          <w:szCs w:val="22"/>
        </w:rPr>
        <w:t xml:space="preserve">Achieving this requires four characteristics that distinguish minimum viable governance from traditional governance: it is structurally agile, trustworthy by design, integrated end-to-end, and </w:t>
      </w:r>
      <w:proofErr w:type="gramStart"/>
      <w:r w:rsidR="007B3630" w:rsidRPr="009C25DD">
        <w:rPr>
          <w:rFonts w:ascii="Calibri" w:hAnsi="Calibri" w:cs="Calibri"/>
          <w:sz w:val="24"/>
          <w:szCs w:val="22"/>
        </w:rPr>
        <w:t>opportunity-sensitive</w:t>
      </w:r>
      <w:proofErr w:type="gramEnd"/>
      <w:r w:rsidR="007B3630" w:rsidRPr="009C25DD">
        <w:rPr>
          <w:rFonts w:ascii="Calibri" w:hAnsi="Calibri" w:cs="Calibri"/>
          <w:sz w:val="24"/>
          <w:szCs w:val="22"/>
        </w:rPr>
        <w:t xml:space="preserve">. </w:t>
      </w:r>
      <w:r w:rsidRPr="009C25DD">
        <w:rPr>
          <w:rFonts w:ascii="Calibri" w:hAnsi="Calibri" w:cs="Calibri"/>
          <w:sz w:val="24"/>
          <w:szCs w:val="22"/>
        </w:rPr>
        <w:t xml:space="preserve"> </w:t>
      </w:r>
    </w:p>
    <w:p w14:paraId="7AC3978C" w14:textId="1E9285FA" w:rsidR="00FD00ED" w:rsidRPr="009C25DD" w:rsidRDefault="00000000" w:rsidP="009C25DD">
      <w:pPr>
        <w:spacing w:after="120" w:line="360" w:lineRule="exact"/>
        <w:rPr>
          <w:rFonts w:ascii="Calibri" w:hAnsi="Calibri" w:cs="Calibri"/>
          <w:sz w:val="24"/>
          <w:szCs w:val="22"/>
        </w:rPr>
      </w:pPr>
      <w:r w:rsidRPr="009C25DD">
        <w:rPr>
          <w:rFonts w:ascii="Calibri" w:hAnsi="Calibri" w:cs="Calibri"/>
          <w:sz w:val="24"/>
          <w:szCs w:val="22"/>
        </w:rPr>
        <w:t>Structurally Agile</w:t>
      </w:r>
    </w:p>
    <w:p w14:paraId="3C99CF3E" w14:textId="551158E8" w:rsidR="00FD00ED" w:rsidRPr="009C25DD" w:rsidRDefault="00000000" w:rsidP="009C25DD">
      <w:pPr>
        <w:spacing w:after="120" w:line="360" w:lineRule="exact"/>
        <w:rPr>
          <w:rFonts w:ascii="Calibri" w:hAnsi="Calibri" w:cs="Calibri"/>
          <w:sz w:val="24"/>
          <w:szCs w:val="22"/>
        </w:rPr>
      </w:pPr>
      <w:r w:rsidRPr="009C25DD">
        <w:rPr>
          <w:rFonts w:ascii="Calibri" w:hAnsi="Calibri" w:cs="Calibri"/>
          <w:sz w:val="24"/>
          <w:szCs w:val="22"/>
        </w:rPr>
        <w:t xml:space="preserve">For governance to keep pace with GenAI, leaders must design mechanisms that can be introduced, adjusted, or retired as conditions change. </w:t>
      </w:r>
      <w:r w:rsidR="006D3AEB" w:rsidRPr="009C25DD">
        <w:rPr>
          <w:rFonts w:ascii="Calibri" w:hAnsi="Calibri" w:cs="Calibri"/>
          <w:sz w:val="24"/>
          <w:szCs w:val="22"/>
        </w:rPr>
        <w:t xml:space="preserve">The mechanisms </w:t>
      </w:r>
      <w:proofErr w:type="spellStart"/>
      <w:r w:rsidRPr="009C25DD">
        <w:rPr>
          <w:rFonts w:ascii="Calibri" w:hAnsi="Calibri" w:cs="Calibri"/>
          <w:sz w:val="24"/>
          <w:szCs w:val="22"/>
        </w:rPr>
        <w:t>FinCo</w:t>
      </w:r>
      <w:proofErr w:type="spellEnd"/>
      <w:r w:rsidR="006D3AEB" w:rsidRPr="009C25DD">
        <w:rPr>
          <w:rFonts w:ascii="Calibri" w:hAnsi="Calibri" w:cs="Calibri"/>
          <w:sz w:val="24"/>
          <w:szCs w:val="22"/>
        </w:rPr>
        <w:t xml:space="preserve"> leveraged in its</w:t>
      </w:r>
      <w:r w:rsidRPr="009C25DD">
        <w:rPr>
          <w:rFonts w:ascii="Calibri" w:hAnsi="Calibri" w:cs="Calibri"/>
          <w:sz w:val="24"/>
          <w:szCs w:val="22"/>
        </w:rPr>
        <w:t xml:space="preserve"> principles were sound, but </w:t>
      </w:r>
      <w:r w:rsidR="006D3AEB" w:rsidRPr="009C25DD">
        <w:rPr>
          <w:rFonts w:ascii="Calibri" w:hAnsi="Calibri" w:cs="Calibri"/>
          <w:sz w:val="24"/>
          <w:szCs w:val="22"/>
        </w:rPr>
        <w:t xml:space="preserve">those it used </w:t>
      </w:r>
      <w:r w:rsidR="001238F6" w:rsidRPr="009C25DD">
        <w:rPr>
          <w:rFonts w:ascii="Calibri" w:hAnsi="Calibri" w:cs="Calibri"/>
          <w:sz w:val="24"/>
          <w:szCs w:val="22"/>
        </w:rPr>
        <w:t xml:space="preserve">in </w:t>
      </w:r>
      <w:r w:rsidRPr="009C25DD">
        <w:rPr>
          <w:rFonts w:ascii="Calibri" w:hAnsi="Calibri" w:cs="Calibri"/>
          <w:sz w:val="24"/>
          <w:szCs w:val="22"/>
        </w:rPr>
        <w:t xml:space="preserve">its </w:t>
      </w:r>
      <w:r w:rsidR="001238F6" w:rsidRPr="009C25DD">
        <w:rPr>
          <w:rFonts w:ascii="Calibri" w:hAnsi="Calibri" w:cs="Calibri"/>
          <w:sz w:val="24"/>
          <w:szCs w:val="22"/>
        </w:rPr>
        <w:t>other governance domains</w:t>
      </w:r>
      <w:r w:rsidRPr="009C25DD">
        <w:rPr>
          <w:rFonts w:ascii="Calibri" w:hAnsi="Calibri" w:cs="Calibri"/>
          <w:sz w:val="24"/>
          <w:szCs w:val="22"/>
        </w:rPr>
        <w:t xml:space="preserve"> were too rigid. </w:t>
      </w:r>
      <w:r w:rsidR="00274B17" w:rsidRPr="009C25DD">
        <w:rPr>
          <w:rFonts w:ascii="Calibri" w:hAnsi="Calibri" w:cs="Calibri"/>
          <w:sz w:val="24"/>
          <w:szCs w:val="22"/>
        </w:rPr>
        <w:t>T</w:t>
      </w:r>
      <w:r w:rsidRPr="009C25DD">
        <w:rPr>
          <w:rFonts w:ascii="Calibri" w:hAnsi="Calibri" w:cs="Calibri"/>
          <w:sz w:val="24"/>
          <w:szCs w:val="22"/>
        </w:rPr>
        <w:t xml:space="preserve">he </w:t>
      </w:r>
      <w:r w:rsidR="008C413E" w:rsidRPr="009C25DD">
        <w:rPr>
          <w:rFonts w:ascii="Calibri" w:hAnsi="Calibri" w:cs="Calibri"/>
          <w:sz w:val="24"/>
          <w:szCs w:val="22"/>
        </w:rPr>
        <w:t xml:space="preserve">firm’s </w:t>
      </w:r>
      <w:r w:rsidRPr="009C25DD">
        <w:rPr>
          <w:rFonts w:ascii="Calibri" w:hAnsi="Calibri" w:cs="Calibri"/>
          <w:sz w:val="24"/>
          <w:szCs w:val="22"/>
        </w:rPr>
        <w:t>policy cycle took close to a year</w:t>
      </w:r>
      <w:r w:rsidR="008C413E" w:rsidRPr="009C25DD">
        <w:rPr>
          <w:rFonts w:ascii="Calibri" w:hAnsi="Calibri" w:cs="Calibri"/>
          <w:sz w:val="24"/>
          <w:szCs w:val="22"/>
        </w:rPr>
        <w:t xml:space="preserve">, </w:t>
      </w:r>
      <w:r w:rsidRPr="009C25DD">
        <w:rPr>
          <w:rFonts w:ascii="Calibri" w:hAnsi="Calibri" w:cs="Calibri"/>
          <w:sz w:val="24"/>
          <w:szCs w:val="22"/>
        </w:rPr>
        <w:t>produc</w:t>
      </w:r>
      <w:r w:rsidR="00274B17" w:rsidRPr="009C25DD">
        <w:rPr>
          <w:rFonts w:ascii="Calibri" w:hAnsi="Calibri" w:cs="Calibri"/>
          <w:sz w:val="24"/>
          <w:szCs w:val="22"/>
        </w:rPr>
        <w:t>ing</w:t>
      </w:r>
      <w:r w:rsidRPr="009C25DD">
        <w:rPr>
          <w:rFonts w:ascii="Calibri" w:hAnsi="Calibri" w:cs="Calibri"/>
          <w:sz w:val="24"/>
          <w:szCs w:val="22"/>
        </w:rPr>
        <w:t xml:space="preserve"> a document already outdated upon completion. Meanwhile, the </w:t>
      </w:r>
      <w:proofErr w:type="spellStart"/>
      <w:r w:rsidRPr="009C25DD">
        <w:rPr>
          <w:rFonts w:ascii="Calibri" w:hAnsi="Calibri" w:cs="Calibri"/>
          <w:sz w:val="24"/>
          <w:szCs w:val="22"/>
        </w:rPr>
        <w:t>ARCs</w:t>
      </w:r>
      <w:r w:rsidR="006F1701" w:rsidRPr="009C25DD">
        <w:rPr>
          <w:rFonts w:ascii="Calibri" w:hAnsi="Calibri" w:cs="Calibri"/>
          <w:sz w:val="24"/>
          <w:szCs w:val="22"/>
        </w:rPr>
        <w:t>’</w:t>
      </w:r>
      <w:proofErr w:type="spellEnd"/>
      <w:r w:rsidRPr="009C25DD">
        <w:rPr>
          <w:rFonts w:ascii="Calibri" w:hAnsi="Calibri" w:cs="Calibri"/>
          <w:sz w:val="24"/>
          <w:szCs w:val="22"/>
        </w:rPr>
        <w:t xml:space="preserve"> fixed cadences could not accommodate the volume of proposals, creating queues that gave low-risk requests no speed advantage over high-stakes ones. </w:t>
      </w:r>
    </w:p>
    <w:p w14:paraId="73B06140" w14:textId="2B8C3FD0" w:rsidR="00FD00ED" w:rsidRPr="009C25DD" w:rsidRDefault="00000000" w:rsidP="009C25DD">
      <w:pPr>
        <w:spacing w:after="120" w:line="360" w:lineRule="exact"/>
        <w:rPr>
          <w:rFonts w:ascii="Calibri" w:hAnsi="Calibri" w:cs="Calibri"/>
          <w:sz w:val="24"/>
          <w:szCs w:val="22"/>
        </w:rPr>
      </w:pPr>
      <w:r w:rsidRPr="009C25DD">
        <w:rPr>
          <w:rFonts w:ascii="Calibri" w:hAnsi="Calibri" w:cs="Calibri"/>
          <w:sz w:val="24"/>
          <w:szCs w:val="22"/>
        </w:rPr>
        <w:t>Structurally agile governance matches review intensity to proposal complexity. For low-risk initiatives, leaders should consider replacing committee review with lighter mechanisms that can be adjusted as the organization</w:t>
      </w:r>
      <w:r w:rsidR="006F1701" w:rsidRPr="009C25DD">
        <w:rPr>
          <w:rFonts w:ascii="Calibri" w:hAnsi="Calibri" w:cs="Calibri"/>
          <w:sz w:val="24"/>
          <w:szCs w:val="22"/>
        </w:rPr>
        <w:t>’</w:t>
      </w:r>
      <w:r w:rsidRPr="009C25DD">
        <w:rPr>
          <w:rFonts w:ascii="Calibri" w:hAnsi="Calibri" w:cs="Calibri"/>
          <w:sz w:val="24"/>
          <w:szCs w:val="22"/>
        </w:rPr>
        <w:t xml:space="preserve">s understanding of GenAI matures, such as pre-approved categories or delegated authority. One highly regulated organization we studied classified initiatives into three tiers: high-risk initiatives received full committee oversight; mid-tier initiatives could proceed on self-service platforms with pre-configured controls; and teams with low-risk initiatives proceeded autonomously with approved tools. Routing decisions were made based on simple intake forms </w:t>
      </w:r>
      <w:r w:rsidR="006F1701" w:rsidRPr="009C25DD">
        <w:rPr>
          <w:rFonts w:ascii="Calibri" w:hAnsi="Calibri" w:cs="Calibri"/>
          <w:sz w:val="24"/>
          <w:szCs w:val="22"/>
        </w:rPr>
        <w:t xml:space="preserve">that </w:t>
      </w:r>
      <w:r w:rsidRPr="009C25DD">
        <w:rPr>
          <w:rFonts w:ascii="Calibri" w:hAnsi="Calibri" w:cs="Calibri"/>
          <w:sz w:val="24"/>
          <w:szCs w:val="22"/>
        </w:rPr>
        <w:t xml:space="preserve">could be reviewed asynchronously. The organization also incorporated a mandatory </w:t>
      </w:r>
      <w:r w:rsidR="006F1701" w:rsidRPr="009C25DD">
        <w:rPr>
          <w:rFonts w:ascii="Calibri" w:hAnsi="Calibri" w:cs="Calibri"/>
          <w:sz w:val="24"/>
          <w:szCs w:val="22"/>
        </w:rPr>
        <w:t>“</w:t>
      </w:r>
      <w:r w:rsidRPr="009C25DD">
        <w:rPr>
          <w:rFonts w:ascii="Calibri" w:hAnsi="Calibri" w:cs="Calibri"/>
          <w:sz w:val="24"/>
          <w:szCs w:val="22"/>
        </w:rPr>
        <w:t xml:space="preserve">look </w:t>
      </w:r>
      <w:r w:rsidR="006F1701" w:rsidRPr="009C25DD">
        <w:rPr>
          <w:rFonts w:ascii="Calibri" w:hAnsi="Calibri" w:cs="Calibri"/>
          <w:sz w:val="24"/>
          <w:szCs w:val="22"/>
        </w:rPr>
        <w:t xml:space="preserve">back” </w:t>
      </w:r>
      <w:r w:rsidRPr="009C25DD">
        <w:rPr>
          <w:rFonts w:ascii="Calibri" w:hAnsi="Calibri" w:cs="Calibri"/>
          <w:sz w:val="24"/>
          <w:szCs w:val="22"/>
        </w:rPr>
        <w:t>mechanism into their approach, periodically revisiting initiatives to determine whether their risk level had changed. As one leader explained, “In twelve months</w:t>
      </w:r>
      <w:r w:rsidR="006F1701" w:rsidRPr="009C25DD">
        <w:rPr>
          <w:rFonts w:ascii="Calibri" w:hAnsi="Calibri" w:cs="Calibri"/>
          <w:sz w:val="24"/>
          <w:szCs w:val="22"/>
        </w:rPr>
        <w:t>’</w:t>
      </w:r>
      <w:r w:rsidRPr="009C25DD">
        <w:rPr>
          <w:rFonts w:ascii="Calibri" w:hAnsi="Calibri" w:cs="Calibri"/>
          <w:sz w:val="24"/>
          <w:szCs w:val="22"/>
        </w:rPr>
        <w:t xml:space="preserve"> time, if this initiative really grows legs, we</w:t>
      </w:r>
      <w:r w:rsidR="006F1701" w:rsidRPr="009C25DD">
        <w:rPr>
          <w:rFonts w:ascii="Calibri" w:hAnsi="Calibri" w:cs="Calibri"/>
          <w:sz w:val="24"/>
          <w:szCs w:val="22"/>
        </w:rPr>
        <w:t>’</w:t>
      </w:r>
      <w:r w:rsidRPr="009C25DD">
        <w:rPr>
          <w:rFonts w:ascii="Calibri" w:hAnsi="Calibri" w:cs="Calibri"/>
          <w:sz w:val="24"/>
          <w:szCs w:val="22"/>
        </w:rPr>
        <w:t>re going to revisit it.” The</w:t>
      </w:r>
      <w:r w:rsidR="006F1701" w:rsidRPr="009C25DD">
        <w:rPr>
          <w:rFonts w:ascii="Calibri" w:hAnsi="Calibri" w:cs="Calibri"/>
          <w:sz w:val="24"/>
          <w:szCs w:val="22"/>
        </w:rPr>
        <w:t xml:space="preserve"> organization</w:t>
      </w:r>
      <w:r w:rsidRPr="009C25DD">
        <w:rPr>
          <w:rFonts w:ascii="Calibri" w:hAnsi="Calibri" w:cs="Calibri"/>
          <w:sz w:val="24"/>
          <w:szCs w:val="22"/>
        </w:rPr>
        <w:t xml:space="preserve"> also consolidated fragmented governance committees as they learned what worked, retiring structures that had made sense earlier but were no longer fit for purpose. </w:t>
      </w:r>
    </w:p>
    <w:p w14:paraId="508FCB63" w14:textId="77777777" w:rsidR="00FD00ED" w:rsidRPr="009C25DD" w:rsidRDefault="00000000" w:rsidP="009C25DD">
      <w:pPr>
        <w:spacing w:after="120" w:line="360" w:lineRule="exact"/>
        <w:rPr>
          <w:rFonts w:ascii="Calibri" w:hAnsi="Calibri" w:cs="Calibri"/>
          <w:sz w:val="24"/>
          <w:szCs w:val="22"/>
        </w:rPr>
      </w:pPr>
      <w:r w:rsidRPr="009C25DD">
        <w:rPr>
          <w:rFonts w:ascii="Calibri" w:hAnsi="Calibri" w:cs="Calibri"/>
          <w:sz w:val="24"/>
          <w:szCs w:val="22"/>
        </w:rPr>
        <w:t>Trustworthy by Design</w:t>
      </w:r>
    </w:p>
    <w:p w14:paraId="377A6776" w14:textId="4E29D2DB" w:rsidR="00FD00ED" w:rsidRPr="009C25DD" w:rsidRDefault="00000000" w:rsidP="009C25DD">
      <w:pPr>
        <w:spacing w:after="120" w:line="360" w:lineRule="exact"/>
        <w:rPr>
          <w:rFonts w:ascii="Calibri" w:hAnsi="Calibri" w:cs="Calibri"/>
          <w:sz w:val="24"/>
          <w:szCs w:val="22"/>
        </w:rPr>
      </w:pPr>
      <w:r w:rsidRPr="009C25DD">
        <w:rPr>
          <w:rFonts w:ascii="Calibri" w:hAnsi="Calibri" w:cs="Calibri"/>
          <w:sz w:val="24"/>
          <w:szCs w:val="22"/>
        </w:rPr>
        <w:t xml:space="preserve">For governance to scale without creating bottlenecks, leaders must build oversight into governance mechanisms themselves. </w:t>
      </w:r>
      <w:proofErr w:type="spellStart"/>
      <w:r w:rsidRPr="009C25DD">
        <w:rPr>
          <w:rFonts w:ascii="Calibri" w:hAnsi="Calibri" w:cs="Calibri"/>
          <w:sz w:val="24"/>
          <w:szCs w:val="22"/>
        </w:rPr>
        <w:t>FinCo</w:t>
      </w:r>
      <w:r w:rsidR="006F1701" w:rsidRPr="009C25DD">
        <w:rPr>
          <w:rFonts w:ascii="Calibri" w:hAnsi="Calibri" w:cs="Calibri"/>
          <w:sz w:val="24"/>
          <w:szCs w:val="22"/>
        </w:rPr>
        <w:t>’</w:t>
      </w:r>
      <w:r w:rsidRPr="009C25DD">
        <w:rPr>
          <w:rFonts w:ascii="Calibri" w:hAnsi="Calibri" w:cs="Calibri"/>
          <w:sz w:val="24"/>
          <w:szCs w:val="22"/>
        </w:rPr>
        <w:t>s</w:t>
      </w:r>
      <w:proofErr w:type="spellEnd"/>
      <w:r w:rsidRPr="009C25DD">
        <w:rPr>
          <w:rFonts w:ascii="Calibri" w:hAnsi="Calibri" w:cs="Calibri"/>
          <w:sz w:val="24"/>
          <w:szCs w:val="22"/>
        </w:rPr>
        <w:t xml:space="preserve"> </w:t>
      </w:r>
      <w:proofErr w:type="spellStart"/>
      <w:r w:rsidRPr="009C25DD">
        <w:rPr>
          <w:rFonts w:ascii="Calibri" w:hAnsi="Calibri" w:cs="Calibri"/>
          <w:sz w:val="24"/>
          <w:szCs w:val="22"/>
        </w:rPr>
        <w:t>FinGPT</w:t>
      </w:r>
      <w:proofErr w:type="spellEnd"/>
      <w:r w:rsidRPr="009C25DD">
        <w:rPr>
          <w:rFonts w:ascii="Calibri" w:hAnsi="Calibri" w:cs="Calibri"/>
          <w:sz w:val="24"/>
          <w:szCs w:val="22"/>
        </w:rPr>
        <w:t xml:space="preserve"> blocked outbound internet traffic, logged conversations, and masked personally identifiable information</w:t>
      </w:r>
      <w:r w:rsidR="006F1701" w:rsidRPr="009C25DD">
        <w:rPr>
          <w:rFonts w:ascii="Calibri" w:hAnsi="Calibri" w:cs="Calibri"/>
          <w:sz w:val="24"/>
          <w:szCs w:val="22"/>
        </w:rPr>
        <w:t xml:space="preserve">; </w:t>
      </w:r>
      <w:r w:rsidRPr="009C25DD">
        <w:rPr>
          <w:rFonts w:ascii="Calibri" w:hAnsi="Calibri" w:cs="Calibri"/>
          <w:sz w:val="24"/>
          <w:szCs w:val="22"/>
        </w:rPr>
        <w:t xml:space="preserve">it was designed for governed </w:t>
      </w:r>
      <w:r w:rsidRPr="009C25DD">
        <w:rPr>
          <w:rFonts w:ascii="Calibri" w:hAnsi="Calibri" w:cs="Calibri"/>
          <w:sz w:val="24"/>
          <w:szCs w:val="22"/>
        </w:rPr>
        <w:lastRenderedPageBreak/>
        <w:t xml:space="preserve">experimentation. Nonetheless, </w:t>
      </w:r>
      <w:proofErr w:type="spellStart"/>
      <w:r w:rsidRPr="009C25DD">
        <w:rPr>
          <w:rFonts w:ascii="Calibri" w:hAnsi="Calibri" w:cs="Calibri"/>
          <w:sz w:val="24"/>
          <w:szCs w:val="22"/>
        </w:rPr>
        <w:t>FinCo</w:t>
      </w:r>
      <w:proofErr w:type="spellEnd"/>
      <w:r w:rsidRPr="009C25DD">
        <w:rPr>
          <w:rFonts w:ascii="Calibri" w:hAnsi="Calibri" w:cs="Calibri"/>
          <w:sz w:val="24"/>
          <w:szCs w:val="22"/>
        </w:rPr>
        <w:t xml:space="preserve"> gated access to </w:t>
      </w:r>
      <w:proofErr w:type="spellStart"/>
      <w:r w:rsidRPr="009C25DD">
        <w:rPr>
          <w:rFonts w:ascii="Calibri" w:hAnsi="Calibri" w:cs="Calibri"/>
          <w:sz w:val="24"/>
          <w:szCs w:val="22"/>
        </w:rPr>
        <w:t>FinGPT</w:t>
      </w:r>
      <w:proofErr w:type="spellEnd"/>
      <w:r w:rsidRPr="009C25DD">
        <w:rPr>
          <w:rFonts w:ascii="Calibri" w:hAnsi="Calibri" w:cs="Calibri"/>
          <w:sz w:val="24"/>
          <w:szCs w:val="22"/>
        </w:rPr>
        <w:t xml:space="preserve"> behind </w:t>
      </w:r>
      <w:proofErr w:type="gramStart"/>
      <w:r w:rsidRPr="009C25DD">
        <w:rPr>
          <w:rFonts w:ascii="Calibri" w:hAnsi="Calibri" w:cs="Calibri"/>
          <w:sz w:val="24"/>
          <w:szCs w:val="22"/>
        </w:rPr>
        <w:t>sign-offs</w:t>
      </w:r>
      <w:proofErr w:type="gramEnd"/>
      <w:r w:rsidRPr="009C25DD">
        <w:rPr>
          <w:rFonts w:ascii="Calibri" w:hAnsi="Calibri" w:cs="Calibri"/>
          <w:sz w:val="24"/>
          <w:szCs w:val="22"/>
        </w:rPr>
        <w:t xml:space="preserve"> from both </w:t>
      </w:r>
      <w:r w:rsidR="00733693" w:rsidRPr="009C25DD">
        <w:rPr>
          <w:rFonts w:ascii="Calibri" w:hAnsi="Calibri" w:cs="Calibri"/>
          <w:sz w:val="24"/>
          <w:szCs w:val="22"/>
        </w:rPr>
        <w:t>the l</w:t>
      </w:r>
      <w:r w:rsidRPr="009C25DD">
        <w:rPr>
          <w:rFonts w:ascii="Calibri" w:hAnsi="Calibri" w:cs="Calibri"/>
          <w:sz w:val="24"/>
          <w:szCs w:val="22"/>
        </w:rPr>
        <w:t xml:space="preserve">egal </w:t>
      </w:r>
      <w:r w:rsidR="00733693" w:rsidRPr="009C25DD">
        <w:rPr>
          <w:rFonts w:ascii="Calibri" w:hAnsi="Calibri" w:cs="Calibri"/>
          <w:sz w:val="24"/>
          <w:szCs w:val="22"/>
        </w:rPr>
        <w:t xml:space="preserve">team </w:t>
      </w:r>
      <w:r w:rsidRPr="009C25DD">
        <w:rPr>
          <w:rFonts w:ascii="Calibri" w:hAnsi="Calibri" w:cs="Calibri"/>
          <w:sz w:val="24"/>
          <w:szCs w:val="22"/>
        </w:rPr>
        <w:t>and the ARC, wrapping a platform designed for experimentation in a process demanding permission.</w:t>
      </w:r>
    </w:p>
    <w:p w14:paraId="6DDFF32E" w14:textId="0EE0B13D" w:rsidR="00FD00ED" w:rsidRPr="009C25DD" w:rsidRDefault="00000000" w:rsidP="009C25DD">
      <w:pPr>
        <w:spacing w:after="120" w:line="360" w:lineRule="exact"/>
        <w:rPr>
          <w:rFonts w:ascii="Calibri" w:hAnsi="Calibri" w:cs="Calibri"/>
          <w:sz w:val="24"/>
          <w:szCs w:val="22"/>
        </w:rPr>
      </w:pPr>
      <w:r w:rsidRPr="009C25DD">
        <w:rPr>
          <w:rFonts w:ascii="Calibri" w:hAnsi="Calibri" w:cs="Calibri"/>
          <w:sz w:val="24"/>
          <w:szCs w:val="22"/>
        </w:rPr>
        <w:t xml:space="preserve">Providing secure, ready-to-use GenAI platforms with embedded controls is more effective than restricting access. One healthcare organization </w:t>
      </w:r>
      <w:r w:rsidR="00733693" w:rsidRPr="009C25DD">
        <w:rPr>
          <w:rFonts w:ascii="Calibri" w:hAnsi="Calibri" w:cs="Calibri"/>
          <w:sz w:val="24"/>
          <w:szCs w:val="22"/>
        </w:rPr>
        <w:t xml:space="preserve">we studied </w:t>
      </w:r>
      <w:r w:rsidRPr="009C25DD">
        <w:rPr>
          <w:rFonts w:ascii="Calibri" w:hAnsi="Calibri" w:cs="Calibri"/>
          <w:sz w:val="24"/>
          <w:szCs w:val="22"/>
        </w:rPr>
        <w:t>built proxy services directly in front of its large language models that allow the organization to automatically log every interaction, analyze outputs for hallucinations, and filter for policy violations. When platforms enforce controls and flag anomalies in this way, approval processes (and the committees that carry them out) can shift from gatekeeping before action to monitoring and intervening as needed. Governance becomes trustworthy by design when it rests on an auditable trail of prompts, outputs, and human decisions—making oversight continuous and verifiable.</w:t>
      </w:r>
    </w:p>
    <w:p w14:paraId="43811955" w14:textId="77777777" w:rsidR="00FD00ED" w:rsidRPr="009C25DD" w:rsidRDefault="00000000" w:rsidP="009C25DD">
      <w:pPr>
        <w:spacing w:after="120" w:line="360" w:lineRule="exact"/>
        <w:rPr>
          <w:rFonts w:ascii="Calibri" w:hAnsi="Calibri" w:cs="Calibri"/>
          <w:sz w:val="24"/>
          <w:szCs w:val="22"/>
        </w:rPr>
      </w:pPr>
      <w:r w:rsidRPr="009C25DD">
        <w:rPr>
          <w:rFonts w:ascii="Calibri" w:hAnsi="Calibri" w:cs="Calibri"/>
          <w:sz w:val="24"/>
          <w:szCs w:val="22"/>
        </w:rPr>
        <w:t>Integrated End-to-End</w:t>
      </w:r>
    </w:p>
    <w:p w14:paraId="4AB5A1D4" w14:textId="77777777" w:rsidR="00FD00ED" w:rsidRPr="009C25DD" w:rsidRDefault="00000000" w:rsidP="009C25DD">
      <w:pPr>
        <w:spacing w:after="120" w:line="360" w:lineRule="exact"/>
        <w:rPr>
          <w:rFonts w:ascii="Calibri" w:hAnsi="Calibri" w:cs="Calibri"/>
          <w:sz w:val="24"/>
          <w:szCs w:val="22"/>
        </w:rPr>
      </w:pPr>
      <w:r w:rsidRPr="009C25DD">
        <w:rPr>
          <w:rFonts w:ascii="Calibri" w:hAnsi="Calibri" w:cs="Calibri"/>
          <w:sz w:val="24"/>
          <w:szCs w:val="22"/>
        </w:rPr>
        <w:t xml:space="preserve">For governance to address the full GenAI risk space, mechanisms must function as a unified system. </w:t>
      </w:r>
      <w:proofErr w:type="spellStart"/>
      <w:r w:rsidRPr="009C25DD">
        <w:rPr>
          <w:rFonts w:ascii="Calibri" w:hAnsi="Calibri" w:cs="Calibri"/>
          <w:sz w:val="24"/>
          <w:szCs w:val="22"/>
        </w:rPr>
        <w:t>FinCo</w:t>
      </w:r>
      <w:proofErr w:type="spellEnd"/>
      <w:r w:rsidRPr="009C25DD">
        <w:rPr>
          <w:rFonts w:ascii="Calibri" w:hAnsi="Calibri" w:cs="Calibri"/>
          <w:sz w:val="24"/>
          <w:szCs w:val="22"/>
        </w:rPr>
        <w:t xml:space="preserve"> brought multiple functions together in its ARCs, but outside the committee room, governance fragmented. Risk, compliance, legal, procurement, and architecture teams each developed their own assessment criteria. Teams proposing GenAI initiatives had to navigate these parallel processes, with no coordination between governance mechanisms. </w:t>
      </w:r>
    </w:p>
    <w:p w14:paraId="350E1496" w14:textId="6A6E636F" w:rsidR="00FD00ED" w:rsidRPr="009C25DD" w:rsidRDefault="00000000" w:rsidP="009C25DD">
      <w:pPr>
        <w:spacing w:after="120" w:line="360" w:lineRule="exact"/>
        <w:rPr>
          <w:rFonts w:ascii="Calibri" w:hAnsi="Calibri" w:cs="Calibri"/>
          <w:sz w:val="24"/>
          <w:szCs w:val="22"/>
        </w:rPr>
      </w:pPr>
      <w:r w:rsidRPr="009C25DD">
        <w:rPr>
          <w:rFonts w:ascii="Calibri" w:hAnsi="Calibri" w:cs="Calibri"/>
          <w:sz w:val="24"/>
          <w:szCs w:val="22"/>
        </w:rPr>
        <w:t xml:space="preserve">In </w:t>
      </w:r>
      <w:r w:rsidR="006F1701" w:rsidRPr="009C25DD">
        <w:rPr>
          <w:rFonts w:ascii="Calibri" w:hAnsi="Calibri" w:cs="Calibri"/>
          <w:sz w:val="24"/>
          <w:szCs w:val="22"/>
        </w:rPr>
        <w:t xml:space="preserve">another </w:t>
      </w:r>
      <w:r w:rsidRPr="009C25DD">
        <w:rPr>
          <w:rFonts w:ascii="Calibri" w:hAnsi="Calibri" w:cs="Calibri"/>
          <w:sz w:val="24"/>
          <w:szCs w:val="22"/>
        </w:rPr>
        <w:t>financial services firm, the enterprise data platform team embedded a dedicated risk officer directly into cross-functional teams from day one, participating in all operations meetings. As the platform leader described it, the goal was “bringing them along for the ride rather than intersecting with them at some point</w:t>
      </w:r>
      <w:r w:rsidR="006F1701" w:rsidRPr="009C25DD">
        <w:rPr>
          <w:rFonts w:ascii="Calibri" w:hAnsi="Calibri" w:cs="Calibri"/>
          <w:sz w:val="24"/>
          <w:szCs w:val="22"/>
        </w:rPr>
        <w:t>.</w:t>
      </w:r>
      <w:r w:rsidRPr="009C25DD">
        <w:rPr>
          <w:rFonts w:ascii="Calibri" w:hAnsi="Calibri" w:cs="Calibri"/>
          <w:sz w:val="24"/>
          <w:szCs w:val="22"/>
        </w:rPr>
        <w:t xml:space="preserve">” This approach gave the team a direct link to </w:t>
      </w:r>
      <w:r w:rsidR="00733693" w:rsidRPr="009C25DD">
        <w:rPr>
          <w:rFonts w:ascii="Calibri" w:hAnsi="Calibri" w:cs="Calibri"/>
          <w:sz w:val="24"/>
          <w:szCs w:val="22"/>
        </w:rPr>
        <w:t>l</w:t>
      </w:r>
      <w:r w:rsidRPr="009C25DD">
        <w:rPr>
          <w:rFonts w:ascii="Calibri" w:hAnsi="Calibri" w:cs="Calibri"/>
          <w:sz w:val="24"/>
          <w:szCs w:val="22"/>
        </w:rPr>
        <w:t xml:space="preserve">egal and </w:t>
      </w:r>
      <w:r w:rsidR="00733693" w:rsidRPr="009C25DD">
        <w:rPr>
          <w:rFonts w:ascii="Calibri" w:hAnsi="Calibri" w:cs="Calibri"/>
          <w:sz w:val="24"/>
          <w:szCs w:val="22"/>
        </w:rPr>
        <w:t xml:space="preserve">audit </w:t>
      </w:r>
      <w:r w:rsidRPr="009C25DD">
        <w:rPr>
          <w:rFonts w:ascii="Calibri" w:hAnsi="Calibri" w:cs="Calibri"/>
          <w:sz w:val="24"/>
          <w:szCs w:val="22"/>
        </w:rPr>
        <w:t>functions throughout development, enabling the team to pass a full-scale audit with zero findings. GenAI governance must span the entire risk space, which demands that governance functions become part of the initiatives they oversee.</w:t>
      </w:r>
    </w:p>
    <w:p w14:paraId="78389EC6" w14:textId="77777777" w:rsidR="00FD00ED" w:rsidRPr="009C25DD" w:rsidRDefault="00000000" w:rsidP="009C25DD">
      <w:pPr>
        <w:spacing w:after="120" w:line="360" w:lineRule="exact"/>
        <w:rPr>
          <w:rFonts w:ascii="Calibri" w:hAnsi="Calibri" w:cs="Calibri"/>
          <w:sz w:val="24"/>
          <w:szCs w:val="22"/>
        </w:rPr>
      </w:pPr>
      <w:r w:rsidRPr="009C25DD">
        <w:rPr>
          <w:rFonts w:ascii="Calibri" w:hAnsi="Calibri" w:cs="Calibri"/>
          <w:sz w:val="24"/>
          <w:szCs w:val="22"/>
        </w:rPr>
        <w:t>Opportunity-Sensitive</w:t>
      </w:r>
    </w:p>
    <w:p w14:paraId="2F2FFB6E" w14:textId="5E12F0F4" w:rsidR="00FD00ED" w:rsidRPr="009C25DD" w:rsidRDefault="00000000" w:rsidP="009C25DD">
      <w:pPr>
        <w:spacing w:after="120" w:line="360" w:lineRule="exact"/>
        <w:rPr>
          <w:rFonts w:ascii="Calibri" w:hAnsi="Calibri" w:cs="Calibri"/>
          <w:sz w:val="24"/>
          <w:szCs w:val="22"/>
        </w:rPr>
      </w:pPr>
      <w:r w:rsidRPr="009C25DD">
        <w:rPr>
          <w:rFonts w:ascii="Calibri" w:hAnsi="Calibri" w:cs="Calibri"/>
          <w:sz w:val="24"/>
          <w:szCs w:val="22"/>
        </w:rPr>
        <w:t xml:space="preserve">For governance to serve opportunity as well as manage risk, leaders must account for the cost of inaction. </w:t>
      </w:r>
      <w:proofErr w:type="spellStart"/>
      <w:r w:rsidRPr="009C25DD">
        <w:rPr>
          <w:rFonts w:ascii="Calibri" w:hAnsi="Calibri" w:cs="Calibri"/>
          <w:sz w:val="24"/>
          <w:szCs w:val="22"/>
        </w:rPr>
        <w:t>FinCo</w:t>
      </w:r>
      <w:r w:rsidR="006F1701" w:rsidRPr="009C25DD">
        <w:rPr>
          <w:rFonts w:ascii="Calibri" w:hAnsi="Calibri" w:cs="Calibri"/>
          <w:sz w:val="24"/>
          <w:szCs w:val="22"/>
        </w:rPr>
        <w:t>’</w:t>
      </w:r>
      <w:r w:rsidRPr="009C25DD">
        <w:rPr>
          <w:rFonts w:ascii="Calibri" w:hAnsi="Calibri" w:cs="Calibri"/>
          <w:sz w:val="24"/>
          <w:szCs w:val="22"/>
        </w:rPr>
        <w:t>s</w:t>
      </w:r>
      <w:proofErr w:type="spellEnd"/>
      <w:r w:rsidRPr="009C25DD">
        <w:rPr>
          <w:rFonts w:ascii="Calibri" w:hAnsi="Calibri" w:cs="Calibri"/>
          <w:sz w:val="24"/>
          <w:szCs w:val="22"/>
        </w:rPr>
        <w:t xml:space="preserve"> conservative posture meant that business sponsors encountered committees oriented only toward identifying concerns. When initiatives stalled, the shadow GenAI that </w:t>
      </w:r>
      <w:proofErr w:type="spellStart"/>
      <w:r w:rsidRPr="009C25DD">
        <w:rPr>
          <w:rFonts w:ascii="Calibri" w:hAnsi="Calibri" w:cs="Calibri"/>
          <w:sz w:val="24"/>
          <w:szCs w:val="22"/>
        </w:rPr>
        <w:t>FinCo</w:t>
      </w:r>
      <w:r w:rsidR="006F1701" w:rsidRPr="009C25DD">
        <w:rPr>
          <w:rFonts w:ascii="Calibri" w:hAnsi="Calibri" w:cs="Calibri"/>
          <w:sz w:val="24"/>
          <w:szCs w:val="22"/>
        </w:rPr>
        <w:t>’</w:t>
      </w:r>
      <w:r w:rsidRPr="009C25DD">
        <w:rPr>
          <w:rFonts w:ascii="Calibri" w:hAnsi="Calibri" w:cs="Calibri"/>
          <w:sz w:val="24"/>
          <w:szCs w:val="22"/>
        </w:rPr>
        <w:t>s</w:t>
      </w:r>
      <w:proofErr w:type="spellEnd"/>
      <w:r w:rsidRPr="009C25DD">
        <w:rPr>
          <w:rFonts w:ascii="Calibri" w:hAnsi="Calibri" w:cs="Calibri"/>
          <w:sz w:val="24"/>
          <w:szCs w:val="22"/>
        </w:rPr>
        <w:t xml:space="preserve"> governance was designed to prevent returned.</w:t>
      </w:r>
    </w:p>
    <w:p w14:paraId="5ECD7B35" w14:textId="6A0A49C4" w:rsidR="00FD00ED" w:rsidRPr="009C25DD" w:rsidRDefault="00000000" w:rsidP="009C25DD">
      <w:pPr>
        <w:spacing w:after="120" w:line="360" w:lineRule="exact"/>
        <w:rPr>
          <w:rFonts w:ascii="Calibri" w:hAnsi="Calibri" w:cs="Calibri"/>
          <w:sz w:val="24"/>
          <w:szCs w:val="22"/>
        </w:rPr>
      </w:pPr>
      <w:r w:rsidRPr="009C25DD">
        <w:rPr>
          <w:rFonts w:ascii="Calibri" w:hAnsi="Calibri" w:cs="Calibri"/>
          <w:sz w:val="24"/>
          <w:szCs w:val="22"/>
        </w:rPr>
        <w:t xml:space="preserve">Effective GenAI governance reframes what counts as risk. As a governance leader at another large financial services firm told us, </w:t>
      </w:r>
      <w:r w:rsidR="006F1701" w:rsidRPr="009C25DD">
        <w:rPr>
          <w:rFonts w:ascii="Calibri" w:hAnsi="Calibri" w:cs="Calibri"/>
          <w:sz w:val="24"/>
          <w:szCs w:val="22"/>
        </w:rPr>
        <w:t>“</w:t>
      </w:r>
      <w:r w:rsidRPr="009C25DD">
        <w:rPr>
          <w:rFonts w:ascii="Calibri" w:hAnsi="Calibri" w:cs="Calibri"/>
          <w:sz w:val="24"/>
          <w:szCs w:val="22"/>
        </w:rPr>
        <w:t>The biggest risk is that we move too slowly, because a slow and cumbersome oversight process creates a vacuum filled by other actors who may not have our clients</w:t>
      </w:r>
      <w:r w:rsidR="006F1701" w:rsidRPr="009C25DD">
        <w:rPr>
          <w:rFonts w:ascii="Calibri" w:hAnsi="Calibri" w:cs="Calibri"/>
          <w:sz w:val="24"/>
          <w:szCs w:val="22"/>
        </w:rPr>
        <w:t>’</w:t>
      </w:r>
      <w:r w:rsidRPr="009C25DD">
        <w:rPr>
          <w:rFonts w:ascii="Calibri" w:hAnsi="Calibri" w:cs="Calibri"/>
          <w:sz w:val="24"/>
          <w:szCs w:val="22"/>
        </w:rPr>
        <w:t xml:space="preserve"> best interests at heart.” Some organizations operationalize this by adopting a solutions-first posture: teams develop proposals assuming no restrictions, then refine them with </w:t>
      </w:r>
      <w:r w:rsidRPr="009C25DD">
        <w:rPr>
          <w:rFonts w:ascii="Calibri" w:hAnsi="Calibri" w:cs="Calibri"/>
          <w:sz w:val="24"/>
          <w:szCs w:val="22"/>
        </w:rPr>
        <w:lastRenderedPageBreak/>
        <w:t xml:space="preserve">input from legal and compliance to identify genuine constraints. As one executive put it, </w:t>
      </w:r>
      <w:r w:rsidR="006F1701" w:rsidRPr="009C25DD">
        <w:rPr>
          <w:rFonts w:ascii="Calibri" w:hAnsi="Calibri" w:cs="Calibri"/>
          <w:sz w:val="24"/>
          <w:szCs w:val="22"/>
        </w:rPr>
        <w:t>“</w:t>
      </w:r>
      <w:r w:rsidRPr="009C25DD">
        <w:rPr>
          <w:rFonts w:ascii="Calibri" w:hAnsi="Calibri" w:cs="Calibri"/>
          <w:sz w:val="24"/>
          <w:szCs w:val="22"/>
        </w:rPr>
        <w:t>If we start with restrictions, we</w:t>
      </w:r>
      <w:r w:rsidR="006F1701" w:rsidRPr="009C25DD">
        <w:rPr>
          <w:rFonts w:ascii="Calibri" w:hAnsi="Calibri" w:cs="Calibri"/>
          <w:sz w:val="24"/>
          <w:szCs w:val="22"/>
        </w:rPr>
        <w:t>’</w:t>
      </w:r>
      <w:r w:rsidRPr="009C25DD">
        <w:rPr>
          <w:rFonts w:ascii="Calibri" w:hAnsi="Calibri" w:cs="Calibri"/>
          <w:sz w:val="24"/>
          <w:szCs w:val="22"/>
        </w:rPr>
        <w:t>re going to end up with very narrow proposals.” Tracking time-to-decision alongside risk incidents makes these trade-offs visible—and reveals whether governance is protecting the organization or holding it back.</w:t>
      </w:r>
    </w:p>
    <w:p w14:paraId="0BFC8EB4" w14:textId="77777777" w:rsidR="00FD00ED" w:rsidRPr="009C25DD" w:rsidRDefault="00000000" w:rsidP="009C25DD">
      <w:pPr>
        <w:spacing w:after="120" w:line="360" w:lineRule="exact"/>
        <w:rPr>
          <w:rFonts w:ascii="Calibri" w:hAnsi="Calibri" w:cs="Calibri"/>
          <w:sz w:val="24"/>
          <w:szCs w:val="22"/>
        </w:rPr>
      </w:pPr>
      <w:r w:rsidRPr="009C25DD">
        <w:rPr>
          <w:rFonts w:ascii="Calibri" w:hAnsi="Calibri" w:cs="Calibri"/>
          <w:sz w:val="24"/>
          <w:szCs w:val="22"/>
        </w:rPr>
        <w:t>Building Your GenAI Governance Playbook</w:t>
      </w:r>
    </w:p>
    <w:p w14:paraId="72FB38D3" w14:textId="5B364C2D" w:rsidR="00FD00ED" w:rsidRPr="009C25DD" w:rsidRDefault="00000000" w:rsidP="009C25DD">
      <w:pPr>
        <w:spacing w:after="120" w:line="360" w:lineRule="exact"/>
        <w:rPr>
          <w:rFonts w:ascii="Calibri" w:hAnsi="Calibri" w:cs="Calibri"/>
          <w:sz w:val="24"/>
          <w:szCs w:val="22"/>
        </w:rPr>
      </w:pPr>
      <w:r w:rsidRPr="009C25DD">
        <w:rPr>
          <w:rFonts w:ascii="Calibri" w:hAnsi="Calibri" w:cs="Calibri"/>
          <w:sz w:val="24"/>
          <w:szCs w:val="22"/>
        </w:rPr>
        <w:t>The four characteristics describe what minimum viable governance looks like. Achieving it requires mechanisms across all five domains—principles, policies, people, processes, and platforms—functioning as a mutually reinforcing system. Principles that guide judgment enable action when policies haven</w:t>
      </w:r>
      <w:r w:rsidR="006F1701" w:rsidRPr="009C25DD">
        <w:rPr>
          <w:rFonts w:ascii="Calibri" w:hAnsi="Calibri" w:cs="Calibri"/>
          <w:sz w:val="24"/>
          <w:szCs w:val="22"/>
        </w:rPr>
        <w:t>’</w:t>
      </w:r>
      <w:r w:rsidRPr="009C25DD">
        <w:rPr>
          <w:rFonts w:ascii="Calibri" w:hAnsi="Calibri" w:cs="Calibri"/>
          <w:sz w:val="24"/>
          <w:szCs w:val="22"/>
        </w:rPr>
        <w:t xml:space="preserve">t anticipated the scenario. People </w:t>
      </w:r>
      <w:proofErr w:type="gramStart"/>
      <w:r w:rsidRPr="009C25DD">
        <w:rPr>
          <w:rFonts w:ascii="Calibri" w:hAnsi="Calibri" w:cs="Calibri"/>
          <w:sz w:val="24"/>
          <w:szCs w:val="22"/>
        </w:rPr>
        <w:t>with standing</w:t>
      </w:r>
      <w:proofErr w:type="gramEnd"/>
      <w:r w:rsidRPr="009C25DD">
        <w:rPr>
          <w:rFonts w:ascii="Calibri" w:hAnsi="Calibri" w:cs="Calibri"/>
          <w:sz w:val="24"/>
          <w:szCs w:val="22"/>
        </w:rPr>
        <w:t xml:space="preserve"> to advocate for opportunity prevent governance from becoming overly risk averse. Processes that differentiate initiatives by risk level match scrutiny to stakes. Platforms that enforce controls reduce the need for lengthy approval processes.</w:t>
      </w:r>
    </w:p>
    <w:p w14:paraId="2ABFE1A7" w14:textId="77777777" w:rsidR="00FD00ED" w:rsidRPr="009C25DD" w:rsidRDefault="00000000" w:rsidP="009C25DD">
      <w:pPr>
        <w:spacing w:after="120" w:line="360" w:lineRule="exact"/>
        <w:rPr>
          <w:rFonts w:ascii="Calibri" w:hAnsi="Calibri" w:cs="Calibri"/>
          <w:sz w:val="24"/>
          <w:szCs w:val="22"/>
        </w:rPr>
      </w:pPr>
      <w:r w:rsidRPr="009C25DD">
        <w:rPr>
          <w:rFonts w:ascii="Calibri" w:hAnsi="Calibri" w:cs="Calibri"/>
          <w:sz w:val="24"/>
          <w:szCs w:val="22"/>
        </w:rPr>
        <w:t>Leaders should examine each existing governance mechanism against the four minimum viable governance characteristics. For each mechanism, ask: can it adapt as conditions change? Does it build oversight in, or fall back on approvals? Does it integrate with mechanisms in other domains? And does it account for the cost of delay alongside risk?</w:t>
      </w:r>
    </w:p>
    <w:p w14:paraId="1E4085D5" w14:textId="77777777" w:rsidR="00FD00ED" w:rsidRDefault="00000000" w:rsidP="009C25DD">
      <w:pPr>
        <w:spacing w:after="120" w:line="360" w:lineRule="exact"/>
        <w:rPr>
          <w:rFonts w:ascii="Calibri" w:hAnsi="Calibri" w:cs="Calibri"/>
          <w:sz w:val="24"/>
          <w:szCs w:val="22"/>
        </w:rPr>
      </w:pPr>
      <w:r w:rsidRPr="009C25DD">
        <w:rPr>
          <w:rFonts w:ascii="Calibri" w:hAnsi="Calibri" w:cs="Calibri"/>
          <w:sz w:val="24"/>
          <w:szCs w:val="22"/>
        </w:rPr>
        <w:t>Ultimately, minimum viable governance exists between two failure modes. Its ceiling is the point at which governance impedes innovation more than it reduces risk, as signaled by growing shadow GenAI and lengthening time-to-decision. Its floor is the point at which governance exposes the organization to unacceptable risk, as signaled by rising risk incidents or gaps in audit trails. Every mechanism that pushes governance outside this range should be questioned. Specific mechanisms will vary by industry, risk tolerance, and organizational structure. What matters is that they reinforce each other, and that leaders treat governance as a capability to develop continuously—with the same urgency they bring to the technology it governs.</w:t>
      </w:r>
    </w:p>
    <w:p w14:paraId="3703F5AB" w14:textId="08B68DBE" w:rsidR="009C25DD" w:rsidRPr="009C25DD" w:rsidRDefault="009C25DD" w:rsidP="009C25DD">
      <w:pPr>
        <w:spacing w:after="120" w:line="360" w:lineRule="exact"/>
        <w:rPr>
          <w:rFonts w:ascii="Calibri" w:hAnsi="Calibri" w:cs="Calibri"/>
          <w:sz w:val="24"/>
          <w:szCs w:val="22"/>
        </w:rPr>
      </w:pPr>
      <w:r w:rsidRPr="009C25DD">
        <w:rPr>
          <w:rFonts w:ascii="Calibri" w:hAnsi="Calibri" w:cs="Calibri"/>
          <w:sz w:val="24"/>
          <w:szCs w:val="22"/>
        </w:rPr>
        <w:t>Speaker 1:</w:t>
      </w:r>
      <w:r w:rsidRPr="009C25DD">
        <w:rPr>
          <w:rFonts w:ascii="Calibri" w:hAnsi="Calibri" w:cs="Calibri"/>
          <w:sz w:val="24"/>
          <w:szCs w:val="22"/>
        </w:rPr>
        <w:tab/>
        <w:t>Thanks for listening to this reading of MIT CISR research, and thanks to the sponsors and patrons who support our work. Get free access to more research on our website at cisr.mit.edu.</w:t>
      </w:r>
    </w:p>
    <w:sectPr w:rsidR="009C25DD" w:rsidRPr="009C25DD">
      <w:footerReference w:type="default" r:id="rId6"/>
      <w:footnotePr>
        <w:numRestart w:val="eachSect"/>
      </w:footnotePr>
      <w:endnotePr>
        <w:pos w:val="sectEnd"/>
        <w:numFmt w:val="decimal"/>
        <w:numRestart w:val="eachSect"/>
      </w:endnotePr>
      <w:pgSz w:w="12240" w:h="15840"/>
      <w:pgMar w:top="1360" w:right="1360" w:bottom="1360" w:left="1360" w:header="737" w:footer="56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9EC3C" w14:textId="77777777" w:rsidR="00733F54" w:rsidRDefault="00733F54">
      <w:pPr>
        <w:spacing w:line="240" w:lineRule="auto"/>
      </w:pPr>
      <w:r>
        <w:separator/>
      </w:r>
    </w:p>
  </w:endnote>
  <w:endnote w:type="continuationSeparator" w:id="0">
    <w:p w14:paraId="6C4E0231" w14:textId="77777777" w:rsidR="00733F54" w:rsidRDefault="00733F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tima Regular">
    <w:altName w:val="Bell MT"/>
    <w:panose1 w:val="02000503060000020004"/>
    <w:charset w:val="00"/>
    <w:family w:val="auto"/>
    <w:pitch w:val="variable"/>
    <w:sig w:usb0="8000006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6D38" w14:textId="77777777" w:rsidR="00FD00ED" w:rsidRDefault="00000000">
    <w:pPr>
      <w:jc w:val="center"/>
    </w:pPr>
    <w:r>
      <w:rPr>
        <w:sz w:val="24"/>
      </w:rPr>
      <w:fldChar w:fldCharType="begin"/>
    </w:r>
    <w:r>
      <w:instrText>PAGE \* MERGEFORMAT</w:instrText>
    </w:r>
    <w:r>
      <w:rPr>
        <w:sz w:val="24"/>
      </w:rPr>
      <w:fldChar w:fldCharType="separate"/>
    </w:r>
    <w:r>
      <w:rPr>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F7B2B" w14:textId="77777777" w:rsidR="00733F54" w:rsidRDefault="00733F54">
      <w:pPr>
        <w:spacing w:before="170" w:after="200"/>
      </w:pPr>
      <w:r>
        <w:separator/>
      </w:r>
    </w:p>
  </w:footnote>
  <w:footnote w:type="continuationSeparator" w:id="0">
    <w:p w14:paraId="34E27F16" w14:textId="77777777" w:rsidR="00733F54" w:rsidRDefault="00733F54">
      <w:pPr>
        <w:spacing w:before="170" w:after="2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ED"/>
    <w:rsid w:val="0001420F"/>
    <w:rsid w:val="00022075"/>
    <w:rsid w:val="00034F94"/>
    <w:rsid w:val="00081B24"/>
    <w:rsid w:val="000B6323"/>
    <w:rsid w:val="000F5E36"/>
    <w:rsid w:val="0012050F"/>
    <w:rsid w:val="001238F6"/>
    <w:rsid w:val="001309E2"/>
    <w:rsid w:val="001A4415"/>
    <w:rsid w:val="001B04B3"/>
    <w:rsid w:val="001C17B5"/>
    <w:rsid w:val="001D1448"/>
    <w:rsid w:val="001F254F"/>
    <w:rsid w:val="002367F1"/>
    <w:rsid w:val="00244ED2"/>
    <w:rsid w:val="00246485"/>
    <w:rsid w:val="00271C79"/>
    <w:rsid w:val="00274B17"/>
    <w:rsid w:val="00291541"/>
    <w:rsid w:val="002B7ECE"/>
    <w:rsid w:val="002F5BAC"/>
    <w:rsid w:val="002F7525"/>
    <w:rsid w:val="00306B97"/>
    <w:rsid w:val="00321CE8"/>
    <w:rsid w:val="00410700"/>
    <w:rsid w:val="004553D7"/>
    <w:rsid w:val="0046390D"/>
    <w:rsid w:val="00597CE9"/>
    <w:rsid w:val="005B18BC"/>
    <w:rsid w:val="00606103"/>
    <w:rsid w:val="00637A2C"/>
    <w:rsid w:val="006D3AEB"/>
    <w:rsid w:val="006F1701"/>
    <w:rsid w:val="00704827"/>
    <w:rsid w:val="00733693"/>
    <w:rsid w:val="00733F54"/>
    <w:rsid w:val="00780BFA"/>
    <w:rsid w:val="007810D8"/>
    <w:rsid w:val="007B23AF"/>
    <w:rsid w:val="007B3630"/>
    <w:rsid w:val="007C4D15"/>
    <w:rsid w:val="008565D4"/>
    <w:rsid w:val="00895C83"/>
    <w:rsid w:val="008C413E"/>
    <w:rsid w:val="008F6499"/>
    <w:rsid w:val="0094633C"/>
    <w:rsid w:val="00991380"/>
    <w:rsid w:val="009C25DD"/>
    <w:rsid w:val="00A33CF7"/>
    <w:rsid w:val="00A81372"/>
    <w:rsid w:val="00AB7DEF"/>
    <w:rsid w:val="00AC3AD6"/>
    <w:rsid w:val="00B03D0E"/>
    <w:rsid w:val="00B2018C"/>
    <w:rsid w:val="00B5609A"/>
    <w:rsid w:val="00B805D5"/>
    <w:rsid w:val="00BB24E4"/>
    <w:rsid w:val="00BD30CD"/>
    <w:rsid w:val="00C5761D"/>
    <w:rsid w:val="00D038AD"/>
    <w:rsid w:val="00DB6061"/>
    <w:rsid w:val="00E60B9B"/>
    <w:rsid w:val="00E81C8B"/>
    <w:rsid w:val="00E8472C"/>
    <w:rsid w:val="00F31CB8"/>
    <w:rsid w:val="00F350A7"/>
    <w:rsid w:val="00F57848"/>
    <w:rsid w:val="00F65571"/>
    <w:rsid w:val="00FD00ED"/>
    <w:rsid w:val="00FD5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428ADA"/>
  <w15:docId w15:val="{712D3583-71C5-754C-9D91-5C556376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tima Regular" w:eastAsia="Optima Regular" w:hAnsi="Optima Regular" w:cs="Optima Regular"/>
        <w:sz w:val="24"/>
        <w:szCs w:val="24"/>
        <w:lang w:val="en-US" w:eastAsia="en-US" w:bidi="en-US"/>
        <w14:ligatures w14:val="standardContextual"/>
      </w:rPr>
    </w:rPrDefault>
    <w:pPrDefault>
      <w:pPr>
        <w:suppressAutoHyphens/>
        <w:spacing w:line="3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50F"/>
    <w:rPr>
      <w:sz w:val="28"/>
    </w:rPr>
  </w:style>
  <w:style w:type="paragraph" w:styleId="Heading1">
    <w:name w:val="heading 1"/>
    <w:basedOn w:val="Normal"/>
    <w:uiPriority w:val="9"/>
    <w:qFormat/>
    <w:pPr>
      <w:keepNext/>
      <w:spacing w:line="720" w:lineRule="atLeast"/>
      <w:outlineLvl w:val="0"/>
    </w:pPr>
    <w:rPr>
      <w:b/>
      <w:sz w:val="60"/>
      <w:szCs w:val="60"/>
    </w:rPr>
  </w:style>
  <w:style w:type="paragraph" w:styleId="Heading2">
    <w:name w:val="heading 2"/>
    <w:basedOn w:val="Normal"/>
    <w:uiPriority w:val="9"/>
    <w:unhideWhenUsed/>
    <w:qFormat/>
    <w:pPr>
      <w:keepNext/>
      <w:spacing w:line="560" w:lineRule="atLeast"/>
      <w:outlineLvl w:val="1"/>
    </w:pPr>
    <w:rPr>
      <w:b/>
      <w:sz w:val="48"/>
      <w:szCs w:val="48"/>
    </w:rPr>
  </w:style>
  <w:style w:type="paragraph" w:styleId="Heading3">
    <w:name w:val="heading 3"/>
    <w:basedOn w:val="Normal"/>
    <w:uiPriority w:val="9"/>
    <w:unhideWhenUsed/>
    <w:qFormat/>
    <w:pPr>
      <w:keepNext/>
      <w:spacing w:line="440" w:lineRule="atLeast"/>
      <w:outlineLvl w:val="2"/>
    </w:pPr>
    <w:rPr>
      <w:sz w:val="40"/>
      <w:szCs w:val="40"/>
    </w:rPr>
  </w:style>
  <w:style w:type="paragraph" w:styleId="Heading4">
    <w:name w:val="heading 4"/>
    <w:basedOn w:val="Normal"/>
    <w:uiPriority w:val="9"/>
    <w:unhideWhenUsed/>
    <w:qFormat/>
    <w:pPr>
      <w:keepNext/>
      <w:outlineLvl w:val="3"/>
    </w:pPr>
    <w:rPr>
      <w:sz w:val="32"/>
      <w:szCs w:val="32"/>
    </w:rPr>
  </w:style>
  <w:style w:type="paragraph" w:styleId="Heading5">
    <w:name w:val="heading 5"/>
    <w:basedOn w:val="Normal"/>
    <w:uiPriority w:val="9"/>
    <w:semiHidden/>
    <w:unhideWhenUsed/>
    <w:qFormat/>
    <w:pPr>
      <w:keepNext/>
      <w:spacing w:line="320" w:lineRule="atLeast"/>
      <w:outlineLvl w:val="4"/>
    </w:pPr>
    <w:rPr>
      <w:szCs w:val="28"/>
      <w:u w:val="single"/>
    </w:rPr>
  </w:style>
  <w:style w:type="paragraph" w:styleId="Heading6">
    <w:name w:val="heading 6"/>
    <w:basedOn w:val="Normal"/>
    <w:uiPriority w:val="9"/>
    <w:semiHidden/>
    <w:unhideWhenUsed/>
    <w:qFormat/>
    <w:pPr>
      <w:keepNext/>
      <w:spacing w:line="240" w:lineRule="atLeast"/>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Block">
    <w:name w:val="Comment Block"/>
    <w:basedOn w:val="Normal"/>
    <w:uiPriority w:val="1"/>
    <w:semiHidden/>
    <w:unhideWhenUsed/>
    <w:qFormat/>
    <w:rPr>
      <w:color w:val="838383"/>
    </w:rPr>
  </w:style>
  <w:style w:type="paragraph" w:customStyle="1" w:styleId="DashedList">
    <w:name w:val="Dashed List"/>
    <w:basedOn w:val="Normal"/>
    <w:uiPriority w:val="1"/>
    <w:qFormat/>
  </w:style>
  <w:style w:type="paragraph" w:styleId="Caption">
    <w:name w:val="caption"/>
    <w:basedOn w:val="Normal"/>
    <w:uiPriority w:val="1"/>
    <w:semiHidden/>
    <w:unhideWhenUsed/>
    <w:qFormat/>
    <w:pPr>
      <w:spacing w:line="300" w:lineRule="atLeast"/>
      <w:jc w:val="center"/>
    </w:pPr>
    <w:rPr>
      <w:sz w:val="20"/>
      <w:szCs w:val="20"/>
    </w:rPr>
  </w:style>
  <w:style w:type="paragraph" w:styleId="FootnoteText">
    <w:name w:val="footnote text"/>
    <w:basedOn w:val="Normal"/>
    <w:uiPriority w:val="1"/>
    <w:qFormat/>
    <w:pPr>
      <w:spacing w:after="170"/>
    </w:pPr>
  </w:style>
  <w:style w:type="paragraph" w:customStyle="1" w:styleId="RawSourceBlock">
    <w:name w:val="Raw Source Block"/>
    <w:basedOn w:val="Normal"/>
    <w:uiPriority w:val="1"/>
    <w:semiHidden/>
    <w:unhideWhenUsed/>
    <w:qFormat/>
  </w:style>
  <w:style w:type="paragraph" w:customStyle="1" w:styleId="Divider">
    <w:name w:val="Divider"/>
    <w:basedOn w:val="Normal"/>
    <w:uiPriority w:val="1"/>
    <w:semiHidden/>
    <w:unhideWhenUsed/>
    <w:qFormat/>
  </w:style>
  <w:style w:type="paragraph" w:customStyle="1" w:styleId="CodeBlock">
    <w:name w:val="Code Block"/>
    <w:basedOn w:val="Normal"/>
    <w:uiPriority w:val="1"/>
    <w:semiHidden/>
    <w:unhideWhenUsed/>
    <w:qFormat/>
    <w:pPr>
      <w:spacing w:line="215" w:lineRule="atLeast"/>
      <w:ind w:hanging="432"/>
    </w:pPr>
    <w:rPr>
      <w:rFonts w:ascii="Courier New" w:eastAsia="Courier New" w:hAnsi="Courier New" w:cs="Courier New"/>
      <w:color w:val="000000"/>
      <w:sz w:val="18"/>
      <w:szCs w:val="18"/>
    </w:rPr>
  </w:style>
  <w:style w:type="paragraph" w:styleId="TOC1">
    <w:name w:val="toc 1"/>
    <w:basedOn w:val="Normal"/>
    <w:uiPriority w:val="1"/>
    <w:semiHidden/>
    <w:unhideWhenUsed/>
    <w:qFormat/>
    <w:pPr>
      <w:spacing w:line="480" w:lineRule="atLeast"/>
    </w:pPr>
    <w:rPr>
      <w:b/>
    </w:rPr>
  </w:style>
  <w:style w:type="paragraph" w:customStyle="1" w:styleId="NumberedList">
    <w:name w:val="Numbered List"/>
    <w:basedOn w:val="Normal"/>
    <w:uiPriority w:val="1"/>
    <w:qFormat/>
  </w:style>
  <w:style w:type="paragraph" w:styleId="Quote">
    <w:name w:val="Quote"/>
    <w:basedOn w:val="Normal"/>
    <w:uiPriority w:val="1"/>
    <w:semiHidden/>
    <w:unhideWhenUsed/>
    <w:qFormat/>
  </w:style>
  <w:style w:type="character" w:styleId="FootnoteReference">
    <w:name w:val="footnote reference"/>
    <w:uiPriority w:val="2"/>
    <w:qFormat/>
    <w:rPr>
      <w:rFonts w:ascii="Optima Regular" w:eastAsia="Optima Regular" w:hAnsi="Optima Regular" w:cs="Optima Regular"/>
      <w:b/>
      <w:sz w:val="20"/>
      <w:szCs w:val="20"/>
      <w:vertAlign w:val="superscript"/>
    </w:rPr>
  </w:style>
  <w:style w:type="character" w:customStyle="1" w:styleId="Tag">
    <w:name w:val="Tag"/>
    <w:uiPriority w:val="2"/>
    <w:semiHidden/>
    <w:unhideWhenUsed/>
    <w:qFormat/>
  </w:style>
  <w:style w:type="character" w:customStyle="1" w:styleId="RawSource">
    <w:name w:val="Raw Source"/>
    <w:uiPriority w:val="2"/>
    <w:semiHidden/>
    <w:unhideWhenUsed/>
    <w:qFormat/>
  </w:style>
  <w:style w:type="character" w:styleId="Strong">
    <w:name w:val="Strong"/>
    <w:uiPriority w:val="2"/>
    <w:qFormat/>
    <w:rPr>
      <w:rFonts w:ascii="Optima Regular" w:eastAsia="Optima Regular" w:hAnsi="Optima Regular" w:cs="Optima Regular"/>
      <w:b/>
    </w:rPr>
  </w:style>
  <w:style w:type="character" w:customStyle="1" w:styleId="Footnote">
    <w:name w:val="Footnote"/>
    <w:uiPriority w:val="2"/>
    <w:qFormat/>
    <w:rPr>
      <w:rFonts w:ascii="Optima Regular" w:eastAsia="Optima Regular" w:hAnsi="Optima Regular" w:cs="Optima Regular"/>
      <w:b/>
    </w:rPr>
  </w:style>
  <w:style w:type="character" w:customStyle="1" w:styleId="Redact">
    <w:name w:val="Redact"/>
    <w:uiPriority w:val="2"/>
    <w:semiHidden/>
    <w:unhideWhenUsed/>
    <w:qFormat/>
    <w:rPr>
      <w:strike/>
    </w:rPr>
  </w:style>
  <w:style w:type="character" w:customStyle="1" w:styleId="Comment">
    <w:name w:val="Comment"/>
    <w:uiPriority w:val="2"/>
    <w:semiHidden/>
    <w:unhideWhenUsed/>
    <w:qFormat/>
    <w:rPr>
      <w:color w:val="77787B"/>
    </w:rPr>
  </w:style>
  <w:style w:type="character" w:styleId="Emphasis">
    <w:name w:val="Emphasis"/>
    <w:uiPriority w:val="2"/>
    <w:qFormat/>
    <w:rPr>
      <w:rFonts w:ascii="Optima Regular" w:eastAsia="Optima Regular" w:hAnsi="Optima Regular" w:cs="Optima Regular"/>
      <w:i/>
    </w:rPr>
  </w:style>
  <w:style w:type="character" w:customStyle="1" w:styleId="Link">
    <w:name w:val="Link"/>
    <w:uiPriority w:val="2"/>
    <w:qFormat/>
    <w:rPr>
      <w:rFonts w:ascii="Courier New" w:eastAsia="Courier New" w:hAnsi="Courier New" w:cs="Courier New"/>
      <w:u w:val="single"/>
    </w:rPr>
  </w:style>
  <w:style w:type="character" w:customStyle="1" w:styleId="Highlight">
    <w:name w:val="Highlight"/>
    <w:uiPriority w:val="2"/>
    <w:semiHidden/>
    <w:unhideWhenUsed/>
    <w:qFormat/>
  </w:style>
  <w:style w:type="character" w:customStyle="1" w:styleId="Annotation">
    <w:name w:val="Annotation"/>
    <w:uiPriority w:val="2"/>
    <w:semiHidden/>
    <w:unhideWhenUsed/>
    <w:qFormat/>
  </w:style>
  <w:style w:type="character" w:customStyle="1" w:styleId="Code">
    <w:name w:val="Code"/>
    <w:uiPriority w:val="2"/>
    <w:semiHidden/>
    <w:unhideWhenUsed/>
    <w:qFormat/>
    <w:rPr>
      <w:rFonts w:ascii="Courier New" w:eastAsia="Courier New" w:hAnsi="Courier New" w:cs="Courier New"/>
      <w:sz w:val="18"/>
      <w:szCs w:val="18"/>
    </w:rPr>
  </w:style>
  <w:style w:type="character" w:customStyle="1" w:styleId="Citation">
    <w:name w:val="Citation"/>
    <w:uiPriority w:val="2"/>
    <w:semiHidden/>
    <w:unhideWhenUsed/>
    <w:qFormat/>
    <w:rPr>
      <w:rFonts w:ascii="Optima Regular" w:eastAsia="Optima Regular" w:hAnsi="Optima Regular" w:cs="Optima Regular"/>
      <w:i/>
    </w:rPr>
  </w:style>
  <w:style w:type="paragraph" w:styleId="Revision">
    <w:name w:val="Revision"/>
    <w:hidden/>
    <w:uiPriority w:val="99"/>
    <w:semiHidden/>
    <w:rsid w:val="00291541"/>
    <w:pPr>
      <w:suppressAutoHyphens w:val="0"/>
      <w:spacing w:line="240" w:lineRule="auto"/>
    </w:pPr>
  </w:style>
  <w:style w:type="character" w:styleId="CommentReference">
    <w:name w:val="annotation reference"/>
    <w:basedOn w:val="DefaultParagraphFont"/>
    <w:uiPriority w:val="99"/>
    <w:semiHidden/>
    <w:unhideWhenUsed/>
    <w:rsid w:val="004553D7"/>
    <w:rPr>
      <w:sz w:val="16"/>
      <w:szCs w:val="16"/>
    </w:rPr>
  </w:style>
  <w:style w:type="paragraph" w:styleId="CommentText">
    <w:name w:val="annotation text"/>
    <w:basedOn w:val="Normal"/>
    <w:link w:val="CommentTextChar"/>
    <w:uiPriority w:val="99"/>
    <w:semiHidden/>
    <w:unhideWhenUsed/>
    <w:rsid w:val="004553D7"/>
    <w:pPr>
      <w:spacing w:line="240" w:lineRule="auto"/>
    </w:pPr>
    <w:rPr>
      <w:sz w:val="20"/>
      <w:szCs w:val="20"/>
    </w:rPr>
  </w:style>
  <w:style w:type="character" w:customStyle="1" w:styleId="CommentTextChar">
    <w:name w:val="Comment Text Char"/>
    <w:basedOn w:val="DefaultParagraphFont"/>
    <w:link w:val="CommentText"/>
    <w:uiPriority w:val="99"/>
    <w:semiHidden/>
    <w:rsid w:val="004553D7"/>
    <w:rPr>
      <w:sz w:val="20"/>
      <w:szCs w:val="20"/>
    </w:rPr>
  </w:style>
  <w:style w:type="paragraph" w:styleId="CommentSubject">
    <w:name w:val="annotation subject"/>
    <w:basedOn w:val="CommentText"/>
    <w:next w:val="CommentText"/>
    <w:link w:val="CommentSubjectChar"/>
    <w:uiPriority w:val="99"/>
    <w:semiHidden/>
    <w:unhideWhenUsed/>
    <w:rsid w:val="004553D7"/>
    <w:rPr>
      <w:b/>
      <w:bCs/>
    </w:rPr>
  </w:style>
  <w:style w:type="character" w:customStyle="1" w:styleId="CommentSubjectChar">
    <w:name w:val="Comment Subject Char"/>
    <w:basedOn w:val="CommentTextChar"/>
    <w:link w:val="CommentSubject"/>
    <w:uiPriority w:val="99"/>
    <w:semiHidden/>
    <w:rsid w:val="004553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21AF825AACE84A81BDACBF28BE9FB3" ma:contentTypeVersion="1" ma:contentTypeDescription="Create a new document." ma:contentTypeScope="" ma:versionID="71c2fa2a8b240f12f2ee2c59f153a2e3">
  <xsd:schema xmlns:xsd="http://www.w3.org/2001/XMLSchema" xmlns:xs="http://www.w3.org/2001/XMLSchema" xmlns:p="http://schemas.microsoft.com/office/2006/metadata/properties" targetNamespace="http://schemas.microsoft.com/office/2006/metadata/properties" ma:root="true" ma:fieldsID="f9bce4d9769d259b9f22a0ab32779d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BEAD70-80FF-4F84-90E2-ED59CAEC6460}"/>
</file>

<file path=customXml/itemProps2.xml><?xml version="1.0" encoding="utf-8"?>
<ds:datastoreItem xmlns:ds="http://schemas.openxmlformats.org/officeDocument/2006/customXml" ds:itemID="{51A77B11-F051-4723-A74F-6BDCB3106C8B}"/>
</file>

<file path=customXml/itemProps3.xml><?xml version="1.0" encoding="utf-8"?>
<ds:datastoreItem xmlns:ds="http://schemas.openxmlformats.org/officeDocument/2006/customXml" ds:itemID="{2E767ED3-757F-4E4E-80CD-FB821C4B04D4}"/>
</file>

<file path=docProps/app.xml><?xml version="1.0" encoding="utf-8"?>
<Properties xmlns="http://schemas.openxmlformats.org/officeDocument/2006/extended-properties" xmlns:vt="http://schemas.openxmlformats.org/officeDocument/2006/docPropsVTypes">
  <Template>Normal.dotm</Template>
  <TotalTime>1</TotalTime>
  <Pages>5</Pages>
  <Words>2051</Words>
  <Characters>11652</Characters>
  <Application>Microsoft Office Word</Application>
  <DocSecurity>0</DocSecurity>
  <Lines>164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Viable Governance for Generative AI</dc:title>
  <cp:lastModifiedBy>Cheryl A Miller</cp:lastModifiedBy>
  <cp:revision>3</cp:revision>
  <dcterms:created xsi:type="dcterms:W3CDTF">2026-03-16T16:29:00Z</dcterms:created>
  <dcterms:modified xsi:type="dcterms:W3CDTF">2026-03-16T16:31:00Z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0x0101009D21AF825AACE84A81BDACBF28BE9FB3</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1902;#Audio|430eaa2c-5ec1-42ec-be17-9836132fd5d3;#2131;#Levallet, Nadège|99fdce25-5d76-49b4-98de-7f967384fb0c;#2130;#Jewer, Jennifer|c2686f82-05a9-47c4-9e36-2772bffe8800;#1576;#van der Meulen, Nick|912cc601-23aa-4917-9d8d-db78b7f1f65e</vt:lpwstr>
  </property>
  <property fmtid="{D5CDD505-2E9C-101B-9397-08002B2CF9AE}" pid="6" name="Account">
    <vt:lpwstr/>
  </property>
  <property fmtid="{D5CDD505-2E9C-101B-9397-08002B2CF9AE}" pid="7" name="PublicationType">
    <vt:lpwstr>1902;#Audio|430eaa2c-5ec1-42ec-be17-9836132fd5d3</vt:lpwstr>
  </property>
  <property fmtid="{D5CDD505-2E9C-101B-9397-08002B2CF9AE}" pid="8" name="a04f79b7d2904f22a3c9270bce2f8d80">
    <vt:lpwstr/>
  </property>
  <property fmtid="{D5CDD505-2E9C-101B-9397-08002B2CF9AE}" pid="9" name="g8a31611a4f94460950c11aa266440d9">
    <vt:lpwstr>Audio|430eaa2c-5ec1-42ec-be17-9836132fd5d3</vt:lpwstr>
  </property>
  <property fmtid="{D5CDD505-2E9C-101B-9397-08002B2CF9AE}" pid="10" name="Contact">
    <vt:lpwstr>1576;#van der Meulen, Nick|912cc601-23aa-4917-9d8d-db78b7f1f65e;#2130;#Jewer, Jennifer|c2686f82-05a9-47c4-9e36-2772bffe8800;#2131;#Levallet, Nadège|99fdce25-5d76-49b4-98de-7f967384fb0c</vt:lpwstr>
  </property>
  <property fmtid="{D5CDD505-2E9C-101B-9397-08002B2CF9AE}" pid="11" name="nc2362c3a0ab4baf8b2a7623e62605b6">
    <vt:lpwstr>van der Meulen, Nick|912cc601-23aa-4917-9d8d-db78b7f1f65e;Jewer, Jennifer|c2686f82-05a9-47c4-9e36-2772bffe8800;Levallet, Nadège|99fdce25-5d76-49b4-98de-7f967384fb0c</vt:lpwstr>
  </property>
  <property fmtid="{D5CDD505-2E9C-101B-9397-08002B2CF9AE}" pid="12" name="i232e001587f43e8b7d8a992303567d5">
    <vt:lpwstr/>
  </property>
  <property fmtid="{D5CDD505-2E9C-101B-9397-08002B2CF9AE}" pid="13" name="Year">
    <vt:lpwstr/>
  </property>
  <property fmtid="{D5CDD505-2E9C-101B-9397-08002B2CF9AE}" pid="14" name="SubType">
    <vt:lpwstr>Other</vt:lpwstr>
  </property>
  <property fmtid="{D5CDD505-2E9C-101B-9397-08002B2CF9AE}" pid="15" name="PublicationDate">
    <vt:filetime>2026-03-19T04:00:00Z</vt:filetime>
  </property>
  <property fmtid="{D5CDD505-2E9C-101B-9397-08002B2CF9AE}" pid="16" name="CISRNumber">
    <vt:lpwstr>XXVI-3</vt:lpwstr>
  </property>
</Properties>
</file>