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74E7" w14:textId="77777777" w:rsidR="00CC4B4A" w:rsidRPr="00CC4B4A" w:rsidRDefault="00CC4B4A" w:rsidP="00CC4B4A">
      <w:r w:rsidRPr="00CC4B4A">
        <w:t>Speaker 1:</w:t>
      </w:r>
      <w:r w:rsidRPr="00CC4B4A">
        <w:tab/>
        <w:t>Welcome to the MIT CISR Research Briefing series. The Center for Information Systems Research is based at the Sloan School of Management at MIT. We study digital trans-formation.</w:t>
      </w:r>
    </w:p>
    <w:p w14:paraId="65432B0B" w14:textId="209FED41" w:rsidR="00375D94" w:rsidRPr="00CC4B4A" w:rsidRDefault="00CC4B4A" w:rsidP="00CC4B4A">
      <w:r w:rsidRPr="00CC4B4A">
        <w:t>Nick van der Meulen</w:t>
      </w:r>
      <w:r>
        <w:t xml:space="preserve">: </w:t>
      </w:r>
      <w:r>
        <w:tab/>
      </w:r>
      <w:r w:rsidR="00375D94" w:rsidRPr="00CC4B4A">
        <w:t>Hi, I’m Nick van der Meulen, a research scientist with MIT CISR. Today I’m pleased to share with you the January 2026 research briefing that I co-authored with Hippolyte Lefebvre and Barb Wixom—</w:t>
      </w:r>
    </w:p>
    <w:p w14:paraId="55DDB1A5" w14:textId="56DC8766" w:rsidR="00033B11" w:rsidRPr="00CC4B4A" w:rsidRDefault="00000000" w:rsidP="00CC4B4A">
      <w:r w:rsidRPr="00CC4B4A">
        <w:t>Mapping the Generative AI Risk Space</w:t>
      </w:r>
    </w:p>
    <w:p w14:paraId="34F4E55A" w14:textId="08B2F287" w:rsidR="00033B11" w:rsidRPr="00CC4B4A" w:rsidRDefault="00000000" w:rsidP="00CC4B4A">
      <w:r w:rsidRPr="00CC4B4A">
        <w:t xml:space="preserve">The </w:t>
      </w:r>
      <w:r w:rsidR="005519E1" w:rsidRPr="00CC4B4A">
        <w:t>risks entailed in using</w:t>
      </w:r>
      <w:r w:rsidRPr="00CC4B4A">
        <w:t xml:space="preserve"> generative </w:t>
      </w:r>
      <w:r w:rsidR="008C2509" w:rsidRPr="00CC4B4A">
        <w:t>artificial intelligence (</w:t>
      </w:r>
      <w:r w:rsidR="00375D94" w:rsidRPr="00CC4B4A">
        <w:t xml:space="preserve">or </w:t>
      </w:r>
      <w:r w:rsidR="008C2509" w:rsidRPr="00CC4B4A">
        <w:t>Gen</w:t>
      </w:r>
      <w:r w:rsidRPr="00CC4B4A">
        <w:t>AI</w:t>
      </w:r>
      <w:r w:rsidR="008C2509" w:rsidRPr="00CC4B4A">
        <w:t>)</w:t>
      </w:r>
      <w:r w:rsidRPr="00CC4B4A">
        <w:t xml:space="preserve"> </w:t>
      </w:r>
      <w:r w:rsidR="005519E1" w:rsidRPr="00CC4B4A">
        <w:t>have</w:t>
      </w:r>
      <w:r w:rsidRPr="00CC4B4A">
        <w:t xml:space="preserve"> increased markedly as organizations have </w:t>
      </w:r>
      <w:r w:rsidR="00C328A0" w:rsidRPr="00CC4B4A">
        <w:t>progressed</w:t>
      </w:r>
      <w:r w:rsidRPr="00CC4B4A">
        <w:t xml:space="preserve"> from </w:t>
      </w:r>
      <w:r w:rsidR="00C328A0" w:rsidRPr="00CC4B4A">
        <w:t>experimentation</w:t>
      </w:r>
      <w:r w:rsidRPr="00CC4B4A">
        <w:t xml:space="preserve"> with GenAI tools</w:t>
      </w:r>
      <w:r w:rsidR="00C328A0" w:rsidRPr="00CC4B4A">
        <w:t>,</w:t>
      </w:r>
      <w:r w:rsidRPr="00CC4B4A">
        <w:t xml:space="preserve"> to </w:t>
      </w:r>
      <w:r w:rsidR="00C328A0" w:rsidRPr="00CC4B4A">
        <w:t>deployment of</w:t>
      </w:r>
      <w:r w:rsidRPr="00CC4B4A">
        <w:t xml:space="preserve"> GenAI solutions</w:t>
      </w:r>
      <w:r w:rsidR="00C328A0" w:rsidRPr="00CC4B4A">
        <w:t>,</w:t>
      </w:r>
      <w:r w:rsidRPr="00CC4B4A">
        <w:t xml:space="preserve"> </w:t>
      </w:r>
      <w:r w:rsidR="00C328A0" w:rsidRPr="00CC4B4A">
        <w:t xml:space="preserve">and finally to exploration of </w:t>
      </w:r>
      <w:r w:rsidRPr="00CC4B4A">
        <w:t xml:space="preserve">AI agents. </w:t>
      </w:r>
      <w:r w:rsidR="00301828" w:rsidRPr="00CC4B4A">
        <w:t>Exposure to t</w:t>
      </w:r>
      <w:r w:rsidR="005519E1" w:rsidRPr="00CC4B4A">
        <w:t xml:space="preserve">hese risks </w:t>
      </w:r>
      <w:r w:rsidR="00301828" w:rsidRPr="00CC4B4A">
        <w:t>has</w:t>
      </w:r>
      <w:r w:rsidR="005519E1" w:rsidRPr="00CC4B4A">
        <w:t xml:space="preserve"> been</w:t>
      </w:r>
      <w:r w:rsidRPr="00CC4B4A">
        <w:t xml:space="preserve"> </w:t>
      </w:r>
      <w:r w:rsidR="00301828" w:rsidRPr="00CC4B4A">
        <w:t>amplified</w:t>
      </w:r>
      <w:r w:rsidRPr="00CC4B4A">
        <w:t xml:space="preserve"> by massive, decentralized demand. GenAI’s natural language interface makes it easy to use; its cloud infrastructure makes it ubiquitously available </w:t>
      </w:r>
      <w:r w:rsidR="00BE45EC" w:rsidRPr="00CC4B4A">
        <w:t>at low</w:t>
      </w:r>
      <w:r w:rsidRPr="00CC4B4A">
        <w:t xml:space="preserve"> cost; and its general-purpose nature makes it applicable to </w:t>
      </w:r>
      <w:r w:rsidR="005519E1" w:rsidRPr="00CC4B4A">
        <w:t>myriad tasks</w:t>
      </w:r>
      <w:r w:rsidRPr="00CC4B4A">
        <w:t xml:space="preserve">. </w:t>
      </w:r>
    </w:p>
    <w:p w14:paraId="1B943C7E" w14:textId="28F163F0" w:rsidR="00FC76AE" w:rsidRPr="00CC4B4A" w:rsidRDefault="00000000" w:rsidP="00CC4B4A">
      <w:r w:rsidRPr="00CC4B4A">
        <w:t>To govern GenAI effectively, leaders must</w:t>
      </w:r>
      <w:r w:rsidR="00301828" w:rsidRPr="00CC4B4A">
        <w:t xml:space="preserve"> first</w:t>
      </w:r>
      <w:r w:rsidRPr="00CC4B4A">
        <w:t xml:space="preserve"> understand </w:t>
      </w:r>
      <w:r w:rsidR="00301828" w:rsidRPr="00CC4B4A">
        <w:t xml:space="preserve">where the risks emerge. </w:t>
      </w:r>
      <w:r w:rsidRPr="00CC4B4A">
        <w:t>This briefing therefore explores the Gen</w:t>
      </w:r>
      <w:r w:rsidR="007128F1" w:rsidRPr="00CC4B4A">
        <w:t xml:space="preserve">erative </w:t>
      </w:r>
      <w:r w:rsidRPr="00CC4B4A">
        <w:t xml:space="preserve">AI risk space: the </w:t>
      </w:r>
      <w:r w:rsidR="00A11457" w:rsidRPr="00CC4B4A">
        <w:t xml:space="preserve">set of </w:t>
      </w:r>
      <w:r w:rsidRPr="00CC4B4A">
        <w:t xml:space="preserve">components </w:t>
      </w:r>
      <w:r w:rsidR="00A11457" w:rsidRPr="00CC4B4A">
        <w:t>that give rise to risk</w:t>
      </w:r>
      <w:r w:rsidRPr="00CC4B4A">
        <w:t>, from the training data that shapes model behavior to the human decisions that determine how model outputs are used. Drawing on sixty-two semi-structured interviews with data and technology executives, we describe the</w:t>
      </w:r>
      <w:r w:rsidR="00A11457" w:rsidRPr="00CC4B4A">
        <w:t>se</w:t>
      </w:r>
      <w:r w:rsidRPr="00CC4B4A">
        <w:t xml:space="preserve"> risks and offer guidance for leaders seeking to </w:t>
      </w:r>
      <w:r w:rsidR="007B45E7" w:rsidRPr="00CC4B4A">
        <w:t>realize GenAI’s value safely.</w:t>
      </w:r>
    </w:p>
    <w:p w14:paraId="180BED3D" w14:textId="252F1DBA" w:rsidR="00033B11" w:rsidRPr="00CC4B4A" w:rsidRDefault="00AE50C5" w:rsidP="00CC4B4A">
      <w:r w:rsidRPr="00CC4B4A">
        <w:t>Identify Risks in Core GenAI Components</w:t>
      </w:r>
    </w:p>
    <w:p w14:paraId="1C98FBE1" w14:textId="78B6763F" w:rsidR="00033B11" w:rsidRPr="00CC4B4A" w:rsidRDefault="00000000" w:rsidP="00CC4B4A">
      <w:r w:rsidRPr="00CC4B4A">
        <w:t xml:space="preserve">To make </w:t>
      </w:r>
      <w:r w:rsidR="006145E1" w:rsidRPr="00CC4B4A">
        <w:t>GenAI risks</w:t>
      </w:r>
      <w:r w:rsidRPr="00CC4B4A">
        <w:t xml:space="preserve"> concrete, consider a specific example: a hiring manager us</w:t>
      </w:r>
      <w:r w:rsidR="00375D94" w:rsidRPr="00CC4B4A">
        <w:t>ing</w:t>
      </w:r>
      <w:r w:rsidRPr="00CC4B4A">
        <w:t xml:space="preserve"> GenAI to draft a job description for a new role. What seems like a simple </w:t>
      </w:r>
      <w:r w:rsidR="006145E1" w:rsidRPr="00CC4B4A">
        <w:t>task</w:t>
      </w:r>
      <w:r w:rsidRPr="00CC4B4A">
        <w:t>—type a request, receive a polished draft—</w:t>
      </w:r>
      <w:r w:rsidR="006145E1" w:rsidRPr="00CC4B4A">
        <w:t>involves</w:t>
      </w:r>
      <w:r w:rsidRPr="00CC4B4A">
        <w:t xml:space="preserve"> multiple components, each introducing distinct risks.</w:t>
      </w:r>
    </w:p>
    <w:p w14:paraId="34039B7D" w14:textId="223DCB31" w:rsidR="00033B11" w:rsidRPr="00CC4B4A" w:rsidRDefault="00000000" w:rsidP="00CC4B4A">
      <w:bookmarkStart w:id="0" w:name="OLE_LINK1"/>
      <w:r w:rsidRPr="00CC4B4A">
        <w:t>Training data</w:t>
      </w:r>
      <w:r w:rsidR="001D5124" w:rsidRPr="00CC4B4A">
        <w:t>:</w:t>
      </w:r>
      <w:r w:rsidRPr="00CC4B4A">
        <w:t xml:space="preserve"> Foundation models have been trained on massive datasets, </w:t>
      </w:r>
      <w:r w:rsidR="009D3AD2" w:rsidRPr="00CC4B4A">
        <w:t xml:space="preserve">primarily </w:t>
      </w:r>
      <w:r w:rsidRPr="00CC4B4A">
        <w:t xml:space="preserve">scraped from across the internet. For our hiring manager, this means the model has absorbed millions of job descriptions and </w:t>
      </w:r>
      <w:r w:rsidR="009D3AD2" w:rsidRPr="00CC4B4A">
        <w:t>résumés</w:t>
      </w:r>
      <w:r w:rsidRPr="00CC4B4A">
        <w:t xml:space="preserve">, but also outdated HR practices, biased language, and inaccuracies. As such, the </w:t>
      </w:r>
      <w:r w:rsidR="006145E1" w:rsidRPr="00CC4B4A">
        <w:t xml:space="preserve">risk is that </w:t>
      </w:r>
      <w:r w:rsidR="00D87090" w:rsidRPr="00CC4B4A">
        <w:t xml:space="preserve">the </w:t>
      </w:r>
      <w:r w:rsidRPr="00CC4B4A">
        <w:t xml:space="preserve">model can confidently generate requirements that are incorrect for the hiring manager’s industry or region, or that </w:t>
      </w:r>
      <w:r w:rsidR="006145E1" w:rsidRPr="00CC4B4A">
        <w:t xml:space="preserve">the output </w:t>
      </w:r>
      <w:r w:rsidRPr="00CC4B4A">
        <w:t>reflect</w:t>
      </w:r>
      <w:r w:rsidR="006145E1" w:rsidRPr="00CC4B4A">
        <w:t>s</w:t>
      </w:r>
      <w:r w:rsidRPr="00CC4B4A">
        <w:t xml:space="preserve"> outdated norms rather than current best practices. </w:t>
      </w:r>
      <w:r w:rsidR="002434E8" w:rsidRPr="00CC4B4A">
        <w:t>The organization</w:t>
      </w:r>
      <w:r w:rsidR="0095565A" w:rsidRPr="00CC4B4A">
        <w:t xml:space="preserve"> </w:t>
      </w:r>
      <w:r w:rsidRPr="00CC4B4A">
        <w:t>doesn</w:t>
      </w:r>
      <w:r w:rsidR="009D3AD2" w:rsidRPr="00CC4B4A">
        <w:t>’</w:t>
      </w:r>
      <w:r w:rsidRPr="00CC4B4A">
        <w:t>t control the training data</w:t>
      </w:r>
      <w:r w:rsidR="00627907" w:rsidRPr="00CC4B4A">
        <w:t xml:space="preserve">; </w:t>
      </w:r>
      <w:r w:rsidR="002434E8" w:rsidRPr="00CC4B4A">
        <w:t>it</w:t>
      </w:r>
      <w:r w:rsidR="001675A9" w:rsidRPr="00CC4B4A">
        <w:t xml:space="preserve"> </w:t>
      </w:r>
      <w:r w:rsidR="00627907" w:rsidRPr="00CC4B4A">
        <w:t xml:space="preserve">inherits whatever </w:t>
      </w:r>
      <w:r w:rsidR="002434E8" w:rsidRPr="00CC4B4A">
        <w:t xml:space="preserve">the model’s </w:t>
      </w:r>
      <w:r w:rsidR="00627907" w:rsidRPr="00CC4B4A">
        <w:t xml:space="preserve">developer used. </w:t>
      </w:r>
    </w:p>
    <w:bookmarkEnd w:id="0"/>
    <w:p w14:paraId="0970DF75" w14:textId="07DF8FC0" w:rsidR="00033B11" w:rsidRPr="00CC4B4A" w:rsidRDefault="00000000" w:rsidP="00CC4B4A">
      <w:r w:rsidRPr="00CC4B4A">
        <w:t>Foundation model</w:t>
      </w:r>
      <w:r w:rsidR="001D5124" w:rsidRPr="00CC4B4A">
        <w:t>:</w:t>
      </w:r>
      <w:r w:rsidRPr="00CC4B4A">
        <w:t xml:space="preserve"> The foundation model (typically a large language model, or LLM) distills training data into patterns it uses to generate responses. These models are inherently probabilistic</w:t>
      </w:r>
      <w:r w:rsidR="00D02E87" w:rsidRPr="00CC4B4A">
        <w:t xml:space="preserve">, meaning that </w:t>
      </w:r>
      <w:r w:rsidR="0095565A" w:rsidRPr="00CC4B4A">
        <w:t xml:space="preserve">if </w:t>
      </w:r>
      <w:r w:rsidRPr="00CC4B4A">
        <w:t>the hiring manager provide</w:t>
      </w:r>
      <w:r w:rsidR="0095565A" w:rsidRPr="00CC4B4A">
        <w:t>s</w:t>
      </w:r>
      <w:r w:rsidRPr="00CC4B4A">
        <w:t xml:space="preserve"> the exact same input to the </w:t>
      </w:r>
      <w:r w:rsidR="00DA7C4D" w:rsidRPr="00CC4B4A">
        <w:t xml:space="preserve">model </w:t>
      </w:r>
      <w:r w:rsidR="0095565A" w:rsidRPr="00CC4B4A">
        <w:lastRenderedPageBreak/>
        <w:t xml:space="preserve">multiple </w:t>
      </w:r>
      <w:proofErr w:type="gramStart"/>
      <w:r w:rsidR="0095565A" w:rsidRPr="00CC4B4A">
        <w:t>times</w:t>
      </w:r>
      <w:proofErr w:type="gramEnd"/>
      <w:r w:rsidR="0095565A" w:rsidRPr="00CC4B4A">
        <w:t xml:space="preserve"> they’ll </w:t>
      </w:r>
      <w:r w:rsidRPr="00CC4B4A">
        <w:t xml:space="preserve">obtain different outputs </w:t>
      </w:r>
      <w:r w:rsidR="002A70FB" w:rsidRPr="00CC4B4A">
        <w:t>each time</w:t>
      </w:r>
      <w:r w:rsidRPr="00CC4B4A">
        <w:t>. Foundation models</w:t>
      </w:r>
      <w:r w:rsidR="00290E8D" w:rsidRPr="00CC4B4A">
        <w:t xml:space="preserve"> also</w:t>
      </w:r>
      <w:r w:rsidRPr="00CC4B4A">
        <w:t xml:space="preserve"> </w:t>
      </w:r>
      <w:r w:rsidR="00627907" w:rsidRPr="00CC4B4A">
        <w:t>run the risk of</w:t>
      </w:r>
      <w:r w:rsidRPr="00CC4B4A">
        <w:t xml:space="preserve"> generat</w:t>
      </w:r>
      <w:r w:rsidR="00627907" w:rsidRPr="00CC4B4A">
        <w:t>ing</w:t>
      </w:r>
      <w:r w:rsidRPr="00CC4B4A">
        <w:t xml:space="preserve"> “hallucinations”: plausible-sounding content that is factually wrong. And because the reasoning inside these models is opaque, organizations can</w:t>
      </w:r>
      <w:r w:rsidR="001D5124" w:rsidRPr="00CC4B4A">
        <w:t>’</w:t>
      </w:r>
      <w:r w:rsidRPr="00CC4B4A">
        <w:t>t determine why a particular output was generated—</w:t>
      </w:r>
      <w:r w:rsidR="001D5124" w:rsidRPr="00CC4B4A">
        <w:t xml:space="preserve">which makes </w:t>
      </w:r>
      <w:r w:rsidR="00627907" w:rsidRPr="00CC4B4A">
        <w:t xml:space="preserve">such </w:t>
      </w:r>
      <w:r w:rsidRPr="00CC4B4A">
        <w:t>errors difficult to diagnose and correct.</w:t>
      </w:r>
    </w:p>
    <w:p w14:paraId="4A394533" w14:textId="58F17AAD" w:rsidR="00033B11" w:rsidRPr="00CC4B4A" w:rsidRDefault="00000000" w:rsidP="00CC4B4A">
      <w:r w:rsidRPr="00CC4B4A">
        <w:t xml:space="preserve">Models also change significantly as vendors push updates, sometimes without adequate notice. One executive described the challenge of keeping pace: “[Model provider] employees are not allowed to present a deck to a customer if it is more than 48 hours old... Because </w:t>
      </w:r>
      <w:r w:rsidR="002B30D2" w:rsidRPr="00CC4B4A">
        <w:t xml:space="preserve">[the provider is] </w:t>
      </w:r>
      <w:r w:rsidRPr="00CC4B4A">
        <w:t xml:space="preserve">moving so fast, the information in that deck is no longer current.” </w:t>
      </w:r>
      <w:r w:rsidR="00DE28A4" w:rsidRPr="00CC4B4A">
        <w:t xml:space="preserve">The risk is </w:t>
      </w:r>
      <w:r w:rsidR="00BE45EC" w:rsidRPr="00CC4B4A">
        <w:t xml:space="preserve">thus </w:t>
      </w:r>
      <w:r w:rsidR="00DE28A4" w:rsidRPr="00CC4B4A">
        <w:t xml:space="preserve">that what works today may fail </w:t>
      </w:r>
      <w:r w:rsidRPr="00CC4B4A">
        <w:t>after an update.</w:t>
      </w:r>
    </w:p>
    <w:p w14:paraId="12208A20" w14:textId="2848202E" w:rsidR="00033B11" w:rsidRPr="00CC4B4A" w:rsidRDefault="00000000" w:rsidP="00CC4B4A">
      <w:r w:rsidRPr="00CC4B4A">
        <w:t>User</w:t>
      </w:r>
      <w:r w:rsidR="00DE28A4" w:rsidRPr="00CC4B4A">
        <w:t xml:space="preserve"> </w:t>
      </w:r>
      <w:r w:rsidR="001D5124" w:rsidRPr="00CC4B4A">
        <w:t>p</w:t>
      </w:r>
      <w:r w:rsidR="00DE28A4" w:rsidRPr="00CC4B4A">
        <w:t>rompt</w:t>
      </w:r>
      <w:r w:rsidR="001D5124" w:rsidRPr="00CC4B4A">
        <w:t>:</w:t>
      </w:r>
      <w:r w:rsidRPr="00CC4B4A">
        <w:t xml:space="preserve"> For GenAI tools to be effective, </w:t>
      </w:r>
      <w:r w:rsidR="00BE45EC" w:rsidRPr="00CC4B4A">
        <w:t>users must</w:t>
      </w:r>
      <w:r w:rsidRPr="00CC4B4A">
        <w:t xml:space="preserve"> know how to properly </w:t>
      </w:r>
      <w:r w:rsidR="001D5124" w:rsidRPr="00CC4B4A">
        <w:t>“</w:t>
      </w:r>
      <w:r w:rsidRPr="00CC4B4A">
        <w:t>prompt</w:t>
      </w:r>
      <w:r w:rsidR="001D5124" w:rsidRPr="00CC4B4A">
        <w:t>”</w:t>
      </w:r>
      <w:r w:rsidRPr="00CC4B4A">
        <w:t xml:space="preserve"> the model. The hiring manager needs to provide the right context for the job description, as well as clear instructions and examples of what a good job description looks like. Without clear direction, the model’s output </w:t>
      </w:r>
      <w:r w:rsidR="001D5124" w:rsidRPr="00CC4B4A">
        <w:t xml:space="preserve">likely </w:t>
      </w:r>
      <w:r w:rsidRPr="00CC4B4A">
        <w:t xml:space="preserve">won’t meet expectations. </w:t>
      </w:r>
    </w:p>
    <w:p w14:paraId="055FA3E1" w14:textId="0A16BF8C" w:rsidR="00033B11" w:rsidRPr="00CC4B4A" w:rsidRDefault="00DE28A4" w:rsidP="00CC4B4A">
      <w:r w:rsidRPr="00CC4B4A">
        <w:t>Users can also introduce risk</w:t>
      </w:r>
      <w:r w:rsidR="0001605C" w:rsidRPr="00CC4B4A">
        <w:t>s</w:t>
      </w:r>
      <w:r w:rsidRPr="00CC4B4A">
        <w:t xml:space="preserve"> unknowingly. When using public GenAI tools, users may inadvertently disclose sensitive information by including confidential data, proprietary strategies, or personally identifiable information </w:t>
      </w:r>
      <w:r w:rsidR="00F86A00" w:rsidRPr="00CC4B4A">
        <w:t>in</w:t>
      </w:r>
      <w:r w:rsidRPr="00CC4B4A">
        <w:t xml:space="preserve"> prompts. Or the user could</w:t>
      </w:r>
      <w:r w:rsidR="00BE45EC" w:rsidRPr="00CC4B4A">
        <w:t xml:space="preserve"> fall victim </w:t>
      </w:r>
      <w:r w:rsidR="002B30D2" w:rsidRPr="00CC4B4A">
        <w:t xml:space="preserve">to </w:t>
      </w:r>
      <w:r w:rsidRPr="00CC4B4A">
        <w:t>prompt injection, where malicious content hidden in documents or websites manipulates the model</w:t>
      </w:r>
      <w:r w:rsidR="001D5124" w:rsidRPr="00CC4B4A">
        <w:t>’</w:t>
      </w:r>
      <w:r w:rsidRPr="00CC4B4A">
        <w:t>s behavior. For our hiring manager, copying text from a compromised template could inject instructions that cause the model to leak information or act against the</w:t>
      </w:r>
      <w:r w:rsidR="00BE45EC" w:rsidRPr="00CC4B4A">
        <w:t xml:space="preserve">ir </w:t>
      </w:r>
      <w:r w:rsidRPr="00CC4B4A">
        <w:t>intent.</w:t>
      </w:r>
    </w:p>
    <w:p w14:paraId="411E8F55" w14:textId="6D909E66" w:rsidR="00033B11" w:rsidRPr="00CC4B4A" w:rsidRDefault="00DE28A4" w:rsidP="00CC4B4A">
      <w:r w:rsidRPr="00CC4B4A">
        <w:t xml:space="preserve">System </w:t>
      </w:r>
      <w:r w:rsidR="001D5124" w:rsidRPr="00CC4B4A">
        <w:t>p</w:t>
      </w:r>
      <w:r w:rsidRPr="00CC4B4A">
        <w:t>rompt</w:t>
      </w:r>
      <w:r w:rsidR="001D5124" w:rsidRPr="00CC4B4A">
        <w:t>:</w:t>
      </w:r>
      <w:r w:rsidRPr="00CC4B4A">
        <w:t xml:space="preserve"> Enterprise-grade GenAI tools and solutions typically combine user prompts with a hidden system prompt to enforce organizational context and constraints. This system prompt functions as the model’s </w:t>
      </w:r>
      <w:r w:rsidR="0004418F" w:rsidRPr="00CC4B4A">
        <w:t>“</w:t>
      </w:r>
      <w:r w:rsidRPr="00CC4B4A">
        <w:t>constitution</w:t>
      </w:r>
      <w:r w:rsidR="0004418F" w:rsidRPr="00CC4B4A">
        <w:t xml:space="preserve">,” </w:t>
      </w:r>
      <w:r w:rsidRPr="00CC4B4A">
        <w:t xml:space="preserve">setting tone, operational logic, and safety guardrails that supersede individual </w:t>
      </w:r>
      <w:r w:rsidR="00270FB6" w:rsidRPr="00CC4B4A">
        <w:t>prompts</w:t>
      </w:r>
      <w:r w:rsidRPr="00CC4B4A">
        <w:t xml:space="preserve">. As system prompts govern every interaction, they require careful design and regular review. A poorly engineered system prompt creates a single point of failure that can </w:t>
      </w:r>
      <w:r w:rsidR="00270FB6" w:rsidRPr="00CC4B4A">
        <w:t>lead to</w:t>
      </w:r>
      <w:r w:rsidRPr="00CC4B4A">
        <w:t xml:space="preserve"> errors, security vulnerabilities, or hallucinations across the organization. </w:t>
      </w:r>
      <w:r w:rsidR="00270FB6" w:rsidRPr="00CC4B4A">
        <w:t>A</w:t>
      </w:r>
      <w:r w:rsidRPr="00CC4B4A">
        <w:t xml:space="preserve"> rigid</w:t>
      </w:r>
      <w:r w:rsidR="00270FB6" w:rsidRPr="00CC4B4A">
        <w:t>,</w:t>
      </w:r>
      <w:r w:rsidRPr="00CC4B4A">
        <w:t xml:space="preserve"> legally compliant system prompt could sanitize </w:t>
      </w:r>
      <w:r w:rsidR="00270FB6" w:rsidRPr="00CC4B4A">
        <w:t>our hiring manager’s</w:t>
      </w:r>
      <w:r w:rsidRPr="00CC4B4A">
        <w:t xml:space="preserve"> directions, </w:t>
      </w:r>
      <w:r w:rsidR="00270FB6" w:rsidRPr="00CC4B4A">
        <w:t>for instance</w:t>
      </w:r>
      <w:r w:rsidR="006D22DD" w:rsidRPr="00CC4B4A">
        <w:t>,</w:t>
      </w:r>
      <w:r w:rsidR="00270FB6" w:rsidRPr="00CC4B4A">
        <w:t xml:space="preserve"> </w:t>
      </w:r>
      <w:r w:rsidRPr="00CC4B4A">
        <w:t xml:space="preserve">resulting in a generic boilerplate job description that lacks the excitement needed to attract top candidates. </w:t>
      </w:r>
    </w:p>
    <w:p w14:paraId="4C6D8A3E" w14:textId="6143333B" w:rsidR="00033B11" w:rsidRPr="00CC4B4A" w:rsidRDefault="00000000" w:rsidP="00CC4B4A">
      <w:r w:rsidRPr="00CC4B4A">
        <w:t xml:space="preserve">System prompts are also vulnerable to prompt leakage. Through clever questioning, users—or bad actors—can coax the model into revealing its hidden instructions. </w:t>
      </w:r>
      <w:r w:rsidR="00DA2349" w:rsidRPr="00CC4B4A">
        <w:t xml:space="preserve">Once exposed, competitors can replicate proprietary logic, and attackers can craft inputs designed to circumvent the organization’s security guardrails. </w:t>
      </w:r>
    </w:p>
    <w:p w14:paraId="215D489D" w14:textId="7ABFD187" w:rsidR="00033B11" w:rsidRPr="00CC4B4A" w:rsidRDefault="00000000" w:rsidP="00CC4B4A">
      <w:r w:rsidRPr="00CC4B4A">
        <w:t>Output</w:t>
      </w:r>
      <w:r w:rsidR="001D5124" w:rsidRPr="00CC4B4A">
        <w:t xml:space="preserve">: </w:t>
      </w:r>
      <w:r w:rsidRPr="00CC4B4A">
        <w:t xml:space="preserve">The model can generate a job description in seconds. It looks professional and appears authoritative—but it may contain biased language, inflated requirements, or fabricated </w:t>
      </w:r>
      <w:r w:rsidRPr="00CC4B4A">
        <w:lastRenderedPageBreak/>
        <w:t xml:space="preserve">qualifications. The polished appearance makes </w:t>
      </w:r>
      <w:r w:rsidR="00270FB6" w:rsidRPr="00CC4B4A">
        <w:t>it</w:t>
      </w:r>
      <w:r w:rsidRPr="00CC4B4A">
        <w:t xml:space="preserve"> harder for the hiring manager</w:t>
      </w:r>
      <w:r w:rsidR="00270FB6" w:rsidRPr="00CC4B4A">
        <w:t xml:space="preserve"> to spot errors</w:t>
      </w:r>
      <w:r w:rsidRPr="00CC4B4A">
        <w:t xml:space="preserve">. </w:t>
      </w:r>
      <w:r w:rsidR="00290E8D" w:rsidRPr="00CC4B4A">
        <w:t>Yet p</w:t>
      </w:r>
      <w:r w:rsidRPr="00CC4B4A">
        <w:t>roper evaluation of the output is essential, as the cost of errors can be significant. As one executive mentioned</w:t>
      </w:r>
      <w:r w:rsidR="0004418F" w:rsidRPr="00CC4B4A">
        <w:t>,</w:t>
      </w:r>
      <w:r w:rsidRPr="00CC4B4A">
        <w:t xml:space="preserve"> “The probability of hallucination may be low, but the negative consequences of hallucination are really high for us.” That is why some organizations enforce this directly: “Do you have the expertise to challenge the output? If not, you’re not allowed to use GenAI.”</w:t>
      </w:r>
    </w:p>
    <w:p w14:paraId="12B76B95" w14:textId="69D43558" w:rsidR="00033B11" w:rsidRPr="00CC4B4A" w:rsidRDefault="00000000" w:rsidP="00CC4B4A">
      <w:bookmarkStart w:id="1" w:name="OLE_LINK2"/>
      <w:r w:rsidRPr="00CC4B4A">
        <w:t>Use</w:t>
      </w:r>
      <w:r w:rsidR="001D5124" w:rsidRPr="00CC4B4A">
        <w:t xml:space="preserve">: </w:t>
      </w:r>
      <w:r w:rsidRPr="00CC4B4A">
        <w:t xml:space="preserve">Finally, the hiring manager decides what to do with the output. They might use the output as inspiration, edit the model-drafted description, or accept it wholesale and post it </w:t>
      </w:r>
      <w:r w:rsidR="00366B5D" w:rsidRPr="00CC4B4A">
        <w:t>as presented</w:t>
      </w:r>
      <w:r w:rsidRPr="00CC4B4A">
        <w:t xml:space="preserve">. </w:t>
      </w:r>
      <w:r w:rsidR="00DA2349" w:rsidRPr="00CC4B4A">
        <w:t xml:space="preserve">Errors that remain internal can be caught and corrected; errors that reach external stakeholders can damage trust and reputation. </w:t>
      </w:r>
      <w:r w:rsidR="00DD7B1F" w:rsidRPr="00CC4B4A">
        <w:t>Qualified candidates may not apply if AI-generated requirements seem unrealistic, or they may recognize AI-generated content and question the organization</w:t>
      </w:r>
      <w:r w:rsidR="0004418F" w:rsidRPr="00CC4B4A">
        <w:t>’</w:t>
      </w:r>
      <w:r w:rsidR="00DD7B1F" w:rsidRPr="00CC4B4A">
        <w:t>s judgment. The hiring manager</w:t>
      </w:r>
      <w:r w:rsidR="0004418F" w:rsidRPr="00CC4B4A">
        <w:t>’</w:t>
      </w:r>
      <w:r w:rsidR="00DD7B1F" w:rsidRPr="00CC4B4A">
        <w:t>s decision to post without careful review could cost the organization the very talent it sought to attract.</w:t>
      </w:r>
    </w:p>
    <w:bookmarkEnd w:id="1"/>
    <w:p w14:paraId="21A6DD9E" w14:textId="75031541" w:rsidR="00033B11" w:rsidRPr="00CC4B4A" w:rsidRDefault="00C15AD8" w:rsidP="00CC4B4A">
      <w:r w:rsidRPr="00CC4B4A">
        <w:t>Gauge Exposure from</w:t>
      </w:r>
      <w:r w:rsidR="00AE50C5" w:rsidRPr="00CC4B4A">
        <w:t xml:space="preserve"> RAG and Agents</w:t>
      </w:r>
    </w:p>
    <w:p w14:paraId="1990A981" w14:textId="2A36F182" w:rsidR="00033B11" w:rsidRPr="00CC4B4A" w:rsidRDefault="009431EC" w:rsidP="00CC4B4A">
      <w:r w:rsidRPr="00CC4B4A">
        <w:t>The hiring manager example illustrates risks present in any GenAI use.</w:t>
      </w:r>
      <w:r w:rsidR="00F82C2D" w:rsidRPr="00CC4B4A">
        <w:t xml:space="preserve"> But many organizations have moved beyond </w:t>
      </w:r>
      <w:r w:rsidR="001800D6" w:rsidRPr="00CC4B4A">
        <w:t>off-the-shelf</w:t>
      </w:r>
      <w:r w:rsidR="00F82C2D" w:rsidRPr="00CC4B4A">
        <w:t xml:space="preserve"> tools</w:t>
      </w:r>
      <w:r w:rsidRPr="00CC4B4A">
        <w:t xml:space="preserve"> and solutions</w:t>
      </w:r>
      <w:r w:rsidR="00F82C2D" w:rsidRPr="00CC4B4A">
        <w:t xml:space="preserve"> to deploy GenAI solutions that integrate with proprietary data and systems, expanding the risk space further. </w:t>
      </w:r>
    </w:p>
    <w:p w14:paraId="5DC368B1" w14:textId="1B734A8F" w:rsidR="00033B11" w:rsidRPr="00CC4B4A" w:rsidRDefault="00000000" w:rsidP="00CC4B4A">
      <w:r w:rsidRPr="00CC4B4A">
        <w:t>Data assets and vector databases</w:t>
      </w:r>
      <w:r w:rsidR="00FE047E" w:rsidRPr="00CC4B4A">
        <w:t>:</w:t>
      </w:r>
      <w:r w:rsidRPr="00CC4B4A">
        <w:t xml:space="preserve"> To provide</w:t>
      </w:r>
      <w:r w:rsidR="009B19B9" w:rsidRPr="00CC4B4A">
        <w:t xml:space="preserve"> </w:t>
      </w:r>
      <w:r w:rsidR="002434E8" w:rsidRPr="00CC4B4A">
        <w:t>additional</w:t>
      </w:r>
      <w:r w:rsidR="009B19B9" w:rsidRPr="00CC4B4A">
        <w:t xml:space="preserve"> </w:t>
      </w:r>
      <w:r w:rsidRPr="00CC4B4A">
        <w:t>context</w:t>
      </w:r>
      <w:r w:rsidR="00FE047E" w:rsidRPr="00CC4B4A">
        <w:t xml:space="preserve"> to a foundation model</w:t>
      </w:r>
      <w:r w:rsidRPr="00CC4B4A">
        <w:t xml:space="preserve">, organizations </w:t>
      </w:r>
      <w:r w:rsidR="00FE047E" w:rsidRPr="00CC4B4A">
        <w:t xml:space="preserve">can </w:t>
      </w:r>
      <w:r w:rsidR="009B19B9" w:rsidRPr="00CC4B4A">
        <w:t>use retrieval-augmented generation</w:t>
      </w:r>
      <w:r w:rsidR="00C6060A" w:rsidRPr="00CC4B4A">
        <w:t xml:space="preserve">, </w:t>
      </w:r>
      <w:r w:rsidR="009150F0" w:rsidRPr="00CC4B4A">
        <w:t xml:space="preserve">known as </w:t>
      </w:r>
      <w:r w:rsidR="009B19B9" w:rsidRPr="00CC4B4A">
        <w:t>RAG</w:t>
      </w:r>
      <w:r w:rsidR="00C6060A" w:rsidRPr="00CC4B4A">
        <w:t xml:space="preserve">, </w:t>
      </w:r>
      <w:r w:rsidR="009B19B9" w:rsidRPr="00CC4B4A">
        <w:t xml:space="preserve">to dynamically retrieve relevant </w:t>
      </w:r>
      <w:r w:rsidR="00D13F5C" w:rsidRPr="00CC4B4A">
        <w:t xml:space="preserve">information from </w:t>
      </w:r>
      <w:r w:rsidRPr="00CC4B4A">
        <w:t xml:space="preserve">internal data assets </w:t>
      </w:r>
      <w:r w:rsidR="009B19B9" w:rsidRPr="00CC4B4A">
        <w:t xml:space="preserve">(often indexed </w:t>
      </w:r>
      <w:r w:rsidR="0098368C" w:rsidRPr="00CC4B4A">
        <w:t>in</w:t>
      </w:r>
      <w:r w:rsidRPr="00CC4B4A">
        <w:t xml:space="preserve"> vector databases</w:t>
      </w:r>
      <w:r w:rsidR="009B19B9" w:rsidRPr="00CC4B4A">
        <w:t>).</w:t>
      </w:r>
      <w:r w:rsidR="00FE047E" w:rsidRPr="00CC4B4A">
        <w:t xml:space="preserve"> For example, the </w:t>
      </w:r>
      <w:r w:rsidRPr="00CC4B4A">
        <w:t>hiring manager</w:t>
      </w:r>
      <w:r w:rsidR="005E65E9" w:rsidRPr="00CC4B4A">
        <w:t>’</w:t>
      </w:r>
      <w:r w:rsidRPr="00CC4B4A">
        <w:t xml:space="preserve">s organization might enhance a GenAI solution with </w:t>
      </w:r>
      <w:r w:rsidR="00686247" w:rsidRPr="00CC4B4A">
        <w:t xml:space="preserve">its </w:t>
      </w:r>
      <w:r w:rsidR="0098368C" w:rsidRPr="00CC4B4A">
        <w:t>existing</w:t>
      </w:r>
      <w:r w:rsidRPr="00CC4B4A">
        <w:t xml:space="preserve"> job descriptions, compensation data, and HR policies. </w:t>
      </w:r>
      <w:r w:rsidR="005E65E9" w:rsidRPr="00CC4B4A">
        <w:t xml:space="preserve">However, </w:t>
      </w:r>
      <w:r w:rsidRPr="00CC4B4A">
        <w:t>RAG inherit</w:t>
      </w:r>
      <w:r w:rsidR="009D792F" w:rsidRPr="00CC4B4A">
        <w:t>s</w:t>
      </w:r>
      <w:r w:rsidRPr="00CC4B4A">
        <w:t xml:space="preserve"> whatever quality issues exist in the underlying data. One executive described the hard lesson: </w:t>
      </w:r>
      <w:r w:rsidR="005E65E9" w:rsidRPr="00CC4B4A">
        <w:t>“</w:t>
      </w:r>
      <w:r w:rsidRPr="00CC4B4A">
        <w:t>The assumptions we walked in with</w:t>
      </w:r>
      <w:r w:rsidR="00686247" w:rsidRPr="00CC4B4A">
        <w:t xml:space="preserve"> were</w:t>
      </w:r>
      <w:r w:rsidRPr="00CC4B4A">
        <w:t xml:space="preserve"> that all </w:t>
      </w:r>
      <w:r w:rsidR="00686247" w:rsidRPr="00CC4B4A">
        <w:t>our</w:t>
      </w:r>
      <w:r w:rsidRPr="00CC4B4A">
        <w:t xml:space="preserve"> data was in one place and </w:t>
      </w:r>
      <w:r w:rsidR="00C6060A" w:rsidRPr="00CC4B4A">
        <w:t xml:space="preserve">that </w:t>
      </w:r>
      <w:r w:rsidRPr="00CC4B4A">
        <w:t xml:space="preserve">all the data was good. We spent inordinate amounts of time engineering our data to get </w:t>
      </w:r>
      <w:r w:rsidR="005E65E9" w:rsidRPr="00CC4B4A">
        <w:t xml:space="preserve">it </w:t>
      </w:r>
      <w:r w:rsidRPr="00CC4B4A">
        <w:t>to work</w:t>
      </w:r>
      <w:r w:rsidR="005E65E9" w:rsidRPr="00CC4B4A">
        <w:t xml:space="preserve">.” </w:t>
      </w:r>
    </w:p>
    <w:p w14:paraId="2C943C4C" w14:textId="031ABEB3" w:rsidR="00033B11" w:rsidRPr="00CC4B4A" w:rsidRDefault="0098368C" w:rsidP="00CC4B4A">
      <w:r w:rsidRPr="00CC4B4A">
        <w:t xml:space="preserve">RAG can also expose access control gaps that previously went unnoticed. Vector databases may surface </w:t>
      </w:r>
      <w:r w:rsidR="00686247" w:rsidRPr="00CC4B4A">
        <w:t>data</w:t>
      </w:r>
      <w:r w:rsidRPr="00CC4B4A">
        <w:t xml:space="preserve"> that users could technically access but previously had no way to find. The hiring manager querying for salary benchmarks might inadvertently retrieve executive compensation data, not because RAG granted unauthorized access but because it exposed </w:t>
      </w:r>
      <w:r w:rsidR="00434EC9" w:rsidRPr="00CC4B4A">
        <w:t xml:space="preserve">pre-existing </w:t>
      </w:r>
      <w:r w:rsidRPr="00CC4B4A">
        <w:t>gaps. As one executive explained</w:t>
      </w:r>
      <w:r w:rsidR="00D13F5C" w:rsidRPr="00CC4B4A">
        <w:t>, “</w:t>
      </w:r>
      <w:r w:rsidRPr="00CC4B4A">
        <w:t xml:space="preserve">Sometimes it turns out that the user has access to more than they </w:t>
      </w:r>
      <w:r w:rsidR="00BA297C" w:rsidRPr="00CC4B4A">
        <w:t>knew</w:t>
      </w:r>
      <w:r w:rsidRPr="00CC4B4A">
        <w:t xml:space="preserve">. It can show you that data inadvertently, when previously </w:t>
      </w:r>
      <w:r w:rsidR="00D13F5C" w:rsidRPr="00CC4B4A">
        <w:t xml:space="preserve">it </w:t>
      </w:r>
      <w:r w:rsidRPr="00CC4B4A">
        <w:t>wasn’t as easily discoverable</w:t>
      </w:r>
      <w:r w:rsidR="00D13F5C" w:rsidRPr="00CC4B4A">
        <w:t>.”</w:t>
      </w:r>
    </w:p>
    <w:p w14:paraId="2023FEBC" w14:textId="488B6640" w:rsidR="002A70FB" w:rsidRPr="00CC4B4A" w:rsidRDefault="00000000" w:rsidP="00CC4B4A">
      <w:r w:rsidRPr="00CC4B4A">
        <w:t>Agents and tools</w:t>
      </w:r>
      <w:r w:rsidR="00D13F5C" w:rsidRPr="00CC4B4A">
        <w:t xml:space="preserve">: </w:t>
      </w:r>
      <w:r w:rsidRPr="00CC4B4A">
        <w:t xml:space="preserve">The latest evolution involves AI agents: </w:t>
      </w:r>
      <w:r w:rsidR="001800D6" w:rsidRPr="00CC4B4A">
        <w:t>software</w:t>
      </w:r>
      <w:r w:rsidRPr="00CC4B4A">
        <w:t xml:space="preserve"> that take</w:t>
      </w:r>
      <w:r w:rsidR="001800D6" w:rsidRPr="00CC4B4A">
        <w:t>s autonomous actions within defined boundaries</w:t>
      </w:r>
      <w:r w:rsidR="00D13F5C" w:rsidRPr="00CC4B4A">
        <w:t>, such as</w:t>
      </w:r>
      <w:r w:rsidR="001800D6" w:rsidRPr="00CC4B4A">
        <w:t xml:space="preserve"> querying databases, calling APIs, or executing</w:t>
      </w:r>
      <w:r w:rsidRPr="00CC4B4A">
        <w:t xml:space="preserve"> multistep workflows. A job description generator agent might automatically pull requirements </w:t>
      </w:r>
      <w:r w:rsidR="00434EC9" w:rsidRPr="00CC4B4A">
        <w:lastRenderedPageBreak/>
        <w:t xml:space="preserve">from </w:t>
      </w:r>
      <w:r w:rsidRPr="00CC4B4A">
        <w:t xml:space="preserve">similar roles, check salary data, and post to multiple job </w:t>
      </w:r>
      <w:r w:rsidR="00F86A00" w:rsidRPr="00CC4B4A">
        <w:t>sites</w:t>
      </w:r>
      <w:r w:rsidRPr="00CC4B4A">
        <w:t xml:space="preserve"> without human intervention. </w:t>
      </w:r>
      <w:r w:rsidR="002A70FB" w:rsidRPr="00CC4B4A">
        <w:t xml:space="preserve">As agents </w:t>
      </w:r>
      <w:r w:rsidR="009431EC" w:rsidRPr="00CC4B4A">
        <w:t>access multiple</w:t>
      </w:r>
      <w:r w:rsidR="002A70FB" w:rsidRPr="00CC4B4A">
        <w:t xml:space="preserve"> tools and data sources, organizations can lose visibility into what data flows where and what decisions are being made on their behalf. </w:t>
      </w:r>
      <w:r w:rsidR="00D13F5C" w:rsidRPr="00CC4B4A">
        <w:t>“</w:t>
      </w:r>
      <w:r w:rsidR="002A70FB" w:rsidRPr="00CC4B4A">
        <w:t xml:space="preserve">We need to make sure </w:t>
      </w:r>
      <w:r w:rsidR="00CD0262" w:rsidRPr="00CC4B4A">
        <w:t>AI-based recommendations</w:t>
      </w:r>
      <w:r w:rsidR="002A70FB" w:rsidRPr="00CC4B4A">
        <w:t xml:space="preserve"> are not generated in a vacuum, or </w:t>
      </w:r>
      <w:r w:rsidR="00CD0262" w:rsidRPr="00CC4B4A">
        <w:t>acted on autonomously</w:t>
      </w:r>
      <w:r w:rsidR="002A70FB" w:rsidRPr="00CC4B4A">
        <w:t>,</w:t>
      </w:r>
      <w:r w:rsidR="00D13F5C" w:rsidRPr="00CC4B4A">
        <w:t>”</w:t>
      </w:r>
      <w:r w:rsidR="002A70FB" w:rsidRPr="00CC4B4A">
        <w:t xml:space="preserve"> one executive warned. </w:t>
      </w:r>
      <w:r w:rsidR="00D13F5C" w:rsidRPr="00CC4B4A">
        <w:t>“</w:t>
      </w:r>
      <w:r w:rsidR="002A70FB" w:rsidRPr="00CC4B4A">
        <w:t xml:space="preserve">The minute we take an action without that </w:t>
      </w:r>
      <w:proofErr w:type="gramStart"/>
      <w:r w:rsidR="002A70FB" w:rsidRPr="00CC4B4A">
        <w:t>verification,</w:t>
      </w:r>
      <w:proofErr w:type="gramEnd"/>
      <w:r w:rsidR="002A70FB" w:rsidRPr="00CC4B4A">
        <w:t xml:space="preserve"> </w:t>
      </w:r>
      <w:r w:rsidR="00D13F5C" w:rsidRPr="00CC4B4A">
        <w:t xml:space="preserve">we’re </w:t>
      </w:r>
      <w:r w:rsidR="002A70FB" w:rsidRPr="00CC4B4A">
        <w:t>on the hook</w:t>
      </w:r>
      <w:r w:rsidR="00D13F5C" w:rsidRPr="00CC4B4A">
        <w:t>.”</w:t>
      </w:r>
    </w:p>
    <w:p w14:paraId="03C75A4F" w14:textId="57F0E10C" w:rsidR="002A70FB" w:rsidRPr="00CC4B4A" w:rsidRDefault="003D6E4A" w:rsidP="00CC4B4A">
      <w:r w:rsidRPr="00CC4B4A">
        <w:t>The risks multiply when multiple agents coordinate to achieve complex objectives.</w:t>
      </w:r>
      <w:r w:rsidR="002A70FB" w:rsidRPr="00CC4B4A">
        <w:t xml:space="preserve"> A key risk is autonomy creep: the gradual expansion of </w:t>
      </w:r>
      <w:r w:rsidR="009431EC" w:rsidRPr="00CC4B4A">
        <w:t xml:space="preserve">what agents are authorized to do </w:t>
      </w:r>
      <w:r w:rsidR="002A70FB" w:rsidRPr="00CC4B4A">
        <w:t>as organizations delegate tasks</w:t>
      </w:r>
      <w:r w:rsidR="00CD0262" w:rsidRPr="00CC4B4A">
        <w:t xml:space="preserve"> </w:t>
      </w:r>
      <w:r w:rsidR="002A70FB" w:rsidRPr="00CC4B4A">
        <w:t xml:space="preserve">incrementally, without </w:t>
      </w:r>
      <w:r w:rsidR="009431EC" w:rsidRPr="00CC4B4A">
        <w:t>revisiting who oversees these actions or who is accountable for their consequences</w:t>
      </w:r>
      <w:r w:rsidR="002A70FB" w:rsidRPr="00CC4B4A">
        <w:t xml:space="preserve">. As </w:t>
      </w:r>
      <w:r w:rsidR="009431EC" w:rsidRPr="00CC4B4A">
        <w:t>tasks flow between agents</w:t>
      </w:r>
      <w:r w:rsidR="002A70FB" w:rsidRPr="00CC4B4A">
        <w:t xml:space="preserve">, the </w:t>
      </w:r>
      <w:r w:rsidR="009431EC" w:rsidRPr="00CC4B4A">
        <w:t>aggregate result</w:t>
      </w:r>
      <w:r w:rsidR="002A70FB" w:rsidRPr="00CC4B4A">
        <w:t xml:space="preserve"> can </w:t>
      </w:r>
      <w:r w:rsidR="009431EC" w:rsidRPr="00CC4B4A">
        <w:t>involve</w:t>
      </w:r>
      <w:r w:rsidR="002A70FB" w:rsidRPr="00CC4B4A">
        <w:t xml:space="preserve"> consequential decisions that no one explicitly authorized</w:t>
      </w:r>
      <w:r w:rsidR="009431EC" w:rsidRPr="00CC4B4A">
        <w:t xml:space="preserve"> as a whole</w:t>
      </w:r>
      <w:r w:rsidR="002A70FB" w:rsidRPr="00CC4B4A">
        <w:t xml:space="preserve">. </w:t>
      </w:r>
      <w:r w:rsidR="009D792F" w:rsidRPr="00CC4B4A">
        <w:t>Permissions compound the problem: access granted for one task may be reused across agents, enabling actions that were never evaluated in combination.</w:t>
      </w:r>
      <w:r w:rsidR="002A70FB" w:rsidRPr="00CC4B4A">
        <w:t xml:space="preserve"> </w:t>
      </w:r>
    </w:p>
    <w:p w14:paraId="314A6AD9" w14:textId="7AB189CE" w:rsidR="00033B11" w:rsidRPr="00CC4B4A" w:rsidRDefault="00AE50C5" w:rsidP="00CC4B4A">
      <w:r w:rsidRPr="00CC4B4A">
        <w:t xml:space="preserve">Distinguish Embedded from </w:t>
      </w:r>
      <w:r w:rsidR="00E110E2" w:rsidRPr="00CC4B4A">
        <w:t>Enacted</w:t>
      </w:r>
      <w:r w:rsidRPr="00CC4B4A">
        <w:t xml:space="preserve"> Risks</w:t>
      </w:r>
    </w:p>
    <w:p w14:paraId="0EF1DE5A" w14:textId="0494F03F" w:rsidR="00033B11" w:rsidRPr="00CC4B4A" w:rsidRDefault="002C35E1" w:rsidP="00CC4B4A">
      <w:r w:rsidRPr="00CC4B4A">
        <w:t>We identified two types of risk in t</w:t>
      </w:r>
      <w:r w:rsidR="00794D13" w:rsidRPr="00CC4B4A">
        <w:t xml:space="preserve">he GenAI risk space, each requiring a different management approach. </w:t>
      </w:r>
    </w:p>
    <w:p w14:paraId="6FEBDC2A" w14:textId="0EDE7457" w:rsidR="00033B11" w:rsidRPr="00CC4B4A" w:rsidRDefault="00000000" w:rsidP="00CC4B4A">
      <w:r w:rsidRPr="00CC4B4A">
        <w:t>Embedded risks are part and parcel of the GenAI technology</w:t>
      </w:r>
      <w:r w:rsidR="00A524AA" w:rsidRPr="00CC4B4A">
        <w:t xml:space="preserve"> and</w:t>
      </w:r>
      <w:r w:rsidRPr="00CC4B4A">
        <w:t xml:space="preserve"> models an organization adopts. These risks exist before the organization makes any deployment </w:t>
      </w:r>
      <w:r w:rsidR="00290E8D" w:rsidRPr="00CC4B4A">
        <w:t xml:space="preserve">decisions </w:t>
      </w:r>
      <w:r w:rsidR="009D792F" w:rsidRPr="00CC4B4A">
        <w:t xml:space="preserve">and are shaped by </w:t>
      </w:r>
      <w:r w:rsidR="00470B61" w:rsidRPr="00CC4B4A">
        <w:t>t</w:t>
      </w:r>
      <w:r w:rsidRPr="00CC4B4A">
        <w:t xml:space="preserve">raining data quality, model behavior, </w:t>
      </w:r>
      <w:r w:rsidR="00470B61" w:rsidRPr="00CC4B4A">
        <w:t xml:space="preserve">and performance </w:t>
      </w:r>
      <w:r w:rsidRPr="00CC4B4A">
        <w:t xml:space="preserve">drift </w:t>
      </w:r>
      <w:r w:rsidR="00470B61" w:rsidRPr="00CC4B4A">
        <w:t>introduced by</w:t>
      </w:r>
      <w:r w:rsidRPr="00CC4B4A">
        <w:t xml:space="preserve"> vendor updates</w:t>
      </w:r>
      <w:r w:rsidR="00470B61" w:rsidRPr="00CC4B4A">
        <w:t xml:space="preserve">. They are not fully under an organization’s direct control, </w:t>
      </w:r>
      <w:r w:rsidRPr="00CC4B4A">
        <w:t xml:space="preserve">and the fundamental opacity of how models reason </w:t>
      </w:r>
      <w:r w:rsidR="00470B61" w:rsidRPr="00CC4B4A">
        <w:t xml:space="preserve">makes them difficult to interpret and predict. </w:t>
      </w:r>
      <w:r w:rsidRPr="00CC4B4A">
        <w:t xml:space="preserve">Leaders cannot eliminate these risks, but they can manage them through careful vendor selection, </w:t>
      </w:r>
      <w:r w:rsidR="00470B61" w:rsidRPr="00CC4B4A">
        <w:t xml:space="preserve">independent evaluation, </w:t>
      </w:r>
      <w:r w:rsidRPr="00CC4B4A">
        <w:t xml:space="preserve">contractual requirements for transparency and change notification, and—critically—proactive </w:t>
      </w:r>
      <w:r w:rsidR="00434EC9" w:rsidRPr="00CC4B4A">
        <w:t xml:space="preserve">vendor </w:t>
      </w:r>
      <w:r w:rsidRPr="00CC4B4A">
        <w:t xml:space="preserve">engagement. As one executive noted, </w:t>
      </w:r>
      <w:r w:rsidR="00582AFD" w:rsidRPr="00CC4B4A">
        <w:t>“</w:t>
      </w:r>
      <w:r w:rsidRPr="00CC4B4A">
        <w:t>For the first time, because of AI, we have quarterly roadmap meetings with our vendors. We never used to do this anywhere near as actively</w:t>
      </w:r>
      <w:r w:rsidR="00582AFD" w:rsidRPr="00CC4B4A">
        <w:t>.”</w:t>
      </w:r>
    </w:p>
    <w:p w14:paraId="466A1D4F" w14:textId="1DF53548" w:rsidR="00033B11" w:rsidRPr="00CC4B4A" w:rsidRDefault="00E110E2" w:rsidP="00CC4B4A">
      <w:r w:rsidRPr="00CC4B4A">
        <w:t>Enacted risks emerge from choices organizations make about how they deploy, configure, and use GenAI</w:t>
      </w:r>
      <w:r w:rsidR="00794D13" w:rsidRPr="00CC4B4A">
        <w:t xml:space="preserve">: how to design system prompts, what data users may include in prompts, what safeguards to implement against attacks, whether to require verification before acting on outputs, what permissions to grant agents, and which use contexts are appropriate. These choices reflect the </w:t>
      </w:r>
      <w:r w:rsidRPr="00CC4B4A">
        <w:t xml:space="preserve">quality of the organization’s capabilities and governance. Managing enacted risks requires </w:t>
      </w:r>
      <w:r w:rsidR="001800D6" w:rsidRPr="00CC4B4A">
        <w:t>coordinated</w:t>
      </w:r>
      <w:r w:rsidRPr="00CC4B4A">
        <w:t xml:space="preserve"> governance mechanisms—from guiding principles to </w:t>
      </w:r>
      <w:r w:rsidR="001800D6" w:rsidRPr="00CC4B4A">
        <w:t xml:space="preserve">mechanisms </w:t>
      </w:r>
      <w:r w:rsidR="00F86A00" w:rsidRPr="00CC4B4A">
        <w:t>built</w:t>
      </w:r>
      <w:r w:rsidR="001800D6" w:rsidRPr="00CC4B4A">
        <w:t xml:space="preserve"> in</w:t>
      </w:r>
      <w:r w:rsidR="00F86A00" w:rsidRPr="00CC4B4A">
        <w:t>to</w:t>
      </w:r>
      <w:r w:rsidR="001800D6" w:rsidRPr="00CC4B4A">
        <w:t xml:space="preserve"> </w:t>
      </w:r>
      <w:r w:rsidRPr="00CC4B4A">
        <w:t xml:space="preserve">technical platforms—which we </w:t>
      </w:r>
      <w:r w:rsidR="003A6419" w:rsidRPr="00CC4B4A">
        <w:t xml:space="preserve">will </w:t>
      </w:r>
      <w:r w:rsidRPr="00CC4B4A">
        <w:t>explore in an upcoming companion briefing.</w:t>
      </w:r>
    </w:p>
    <w:p w14:paraId="6FF348AC" w14:textId="48BBCA03" w:rsidR="00033B11" w:rsidRPr="00CC4B4A" w:rsidRDefault="00AE50C5" w:rsidP="00CC4B4A">
      <w:r w:rsidRPr="00CC4B4A">
        <w:t>Inventory, Assign, and Audit</w:t>
      </w:r>
    </w:p>
    <w:p w14:paraId="1C70AF07" w14:textId="6888D7C7" w:rsidR="002A70FB" w:rsidRPr="00CC4B4A" w:rsidRDefault="00000000" w:rsidP="00CC4B4A">
      <w:r w:rsidRPr="00CC4B4A">
        <w:t xml:space="preserve">Leaders seeking to </w:t>
      </w:r>
      <w:r w:rsidR="00794D13" w:rsidRPr="00CC4B4A">
        <w:t>manage</w:t>
      </w:r>
      <w:r w:rsidRPr="00CC4B4A">
        <w:t xml:space="preserve"> GenAI </w:t>
      </w:r>
      <w:r w:rsidR="00794D13" w:rsidRPr="00CC4B4A">
        <w:t xml:space="preserve">risks </w:t>
      </w:r>
      <w:r w:rsidRPr="00CC4B4A">
        <w:t>should begin by mapping their organization</w:t>
      </w:r>
      <w:r w:rsidR="003A6419" w:rsidRPr="00CC4B4A">
        <w:t>’</w:t>
      </w:r>
      <w:r w:rsidRPr="00CC4B4A">
        <w:t xml:space="preserve">s exposure across the entire risk space. </w:t>
      </w:r>
      <w:r w:rsidR="005F7ADA" w:rsidRPr="00CC4B4A">
        <w:t xml:space="preserve">This means creating an inventory of every GenAI tool and solution in </w:t>
      </w:r>
      <w:r w:rsidR="005F7ADA" w:rsidRPr="00CC4B4A">
        <w:lastRenderedPageBreak/>
        <w:t xml:space="preserve">use. For each, document </w:t>
      </w:r>
      <w:r w:rsidR="00701137" w:rsidRPr="00CC4B4A">
        <w:t xml:space="preserve">which foundation model powers it, how system prompts are designed and maintained, what data assets it connects to </w:t>
      </w:r>
      <w:r w:rsidR="0057387F" w:rsidRPr="00CC4B4A">
        <w:t>(</w:t>
      </w:r>
      <w:r w:rsidR="00701137" w:rsidRPr="00CC4B4A">
        <w:t>and whether access controls have been verified</w:t>
      </w:r>
      <w:r w:rsidR="0057387F" w:rsidRPr="00CC4B4A">
        <w:t>)</w:t>
      </w:r>
      <w:r w:rsidR="00701137" w:rsidRPr="00CC4B4A">
        <w:t xml:space="preserve">, who </w:t>
      </w:r>
      <w:r w:rsidR="0057387F" w:rsidRPr="00CC4B4A">
        <w:t>may</w:t>
      </w:r>
      <w:r w:rsidR="00701137" w:rsidRPr="00CC4B4A">
        <w:t xml:space="preserve"> use it, what use contexts are authorized, where human review is required, who is accountable for its use, and—for agents—what permissions have been granted.</w:t>
      </w:r>
    </w:p>
    <w:p w14:paraId="70CD2A23" w14:textId="03EE747B" w:rsidR="00033B11" w:rsidRDefault="00000000" w:rsidP="00CC4B4A">
      <w:r w:rsidRPr="00CC4B4A">
        <w:t xml:space="preserve">In addition, leaders should distinguish </w:t>
      </w:r>
      <w:r w:rsidR="00794D13" w:rsidRPr="00CC4B4A">
        <w:t xml:space="preserve">the management of </w:t>
      </w:r>
      <w:r w:rsidRPr="00CC4B4A">
        <w:t xml:space="preserve">embedded risks from </w:t>
      </w:r>
      <w:r w:rsidR="003A6419" w:rsidRPr="00CC4B4A">
        <w:t xml:space="preserve">that </w:t>
      </w:r>
      <w:r w:rsidR="00794D13" w:rsidRPr="00CC4B4A">
        <w:t xml:space="preserve">of </w:t>
      </w:r>
      <w:r w:rsidR="00E110E2" w:rsidRPr="00CC4B4A">
        <w:t>enacted</w:t>
      </w:r>
      <w:r w:rsidRPr="00CC4B4A">
        <w:t xml:space="preserve"> risks. </w:t>
      </w:r>
      <w:r w:rsidR="00794D13" w:rsidRPr="00CC4B4A">
        <w:t>Embedded risks</w:t>
      </w:r>
      <w:r w:rsidRPr="00CC4B4A">
        <w:t xml:space="preserve"> </w:t>
      </w:r>
      <w:r w:rsidR="005F7ADA" w:rsidRPr="00CC4B4A">
        <w:t>require</w:t>
      </w:r>
      <w:r w:rsidRPr="00CC4B4A">
        <w:t xml:space="preserve"> proactive engagement with vendors and partners, while </w:t>
      </w:r>
      <w:r w:rsidR="00E110E2" w:rsidRPr="00CC4B4A">
        <w:t>enacted</w:t>
      </w:r>
      <w:r w:rsidR="00794D13" w:rsidRPr="00CC4B4A">
        <w:t xml:space="preserve"> risks require</w:t>
      </w:r>
      <w:r w:rsidRPr="00CC4B4A">
        <w:t xml:space="preserve"> building internal capabilities and controls. </w:t>
      </w:r>
      <w:r w:rsidR="005F7ADA" w:rsidRPr="00CC4B4A">
        <w:t xml:space="preserve">For both types, assign clear ownership of ongoing risk assessment, and establish audit trails </w:t>
      </w:r>
      <w:r w:rsidRPr="00CC4B4A">
        <w:t>that log the prompts, the outputs, and the human interventions at each step where GenAI influences decisions. Even if the foundation model is a black box, the GenAI risk space cannot be.</w:t>
      </w:r>
    </w:p>
    <w:p w14:paraId="4A1CDF4D" w14:textId="6653D470" w:rsidR="00CC4B4A" w:rsidRPr="00CC4B4A" w:rsidRDefault="00CC4B4A" w:rsidP="00CC4B4A">
      <w:r w:rsidRPr="00293D5C">
        <w:t>Speaker 1:</w:t>
      </w:r>
      <w:r w:rsidRPr="00293D5C">
        <w:tab/>
        <w:t>Thanks for listening to this reading of MIT CISR research, and thanks to the sponsors and patrons who support our work. Get free access to more research on our website at cisr.mit.edu.</w:t>
      </w:r>
    </w:p>
    <w:sectPr w:rsidR="00CC4B4A" w:rsidRPr="00CC4B4A">
      <w:footerReference w:type="default" r:id="rId7"/>
      <w:footnotePr>
        <w:numRestart w:val="eachSect"/>
      </w:footnotePr>
      <w:endnotePr>
        <w:pos w:val="sectEnd"/>
        <w:numFmt w:val="decimal"/>
        <w:numRestart w:val="eachSect"/>
      </w:endnotePr>
      <w:pgSz w:w="12240" w:h="15840"/>
      <w:pgMar w:top="1360" w:right="1360" w:bottom="1360" w:left="1360" w:header="737"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8B42" w14:textId="77777777" w:rsidR="0038439A" w:rsidRDefault="0038439A">
      <w:pPr>
        <w:spacing w:line="240" w:lineRule="auto"/>
      </w:pPr>
      <w:r>
        <w:separator/>
      </w:r>
    </w:p>
  </w:endnote>
  <w:endnote w:type="continuationSeparator" w:id="0">
    <w:p w14:paraId="1B0A9273" w14:textId="77777777" w:rsidR="0038439A" w:rsidRDefault="00384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tima Regular">
    <w:altName w:val="Optima"/>
    <w:panose1 w:val="020005030600000200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9D57" w14:textId="77777777" w:rsidR="00033B11" w:rsidRDefault="00000000">
    <w:pPr>
      <w:jc w:val="center"/>
    </w:pPr>
    <w:r>
      <w:fldChar w:fldCharType="begin"/>
    </w:r>
    <w:r>
      <w:instrText>PAGE \* MERGEFORMAT</w:instrText>
    </w:r>
    <w: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7E63" w14:textId="77777777" w:rsidR="0038439A" w:rsidRDefault="0038439A">
      <w:pPr>
        <w:spacing w:before="170" w:after="200"/>
      </w:pPr>
      <w:r>
        <w:separator/>
      </w:r>
    </w:p>
  </w:footnote>
  <w:footnote w:type="continuationSeparator" w:id="0">
    <w:p w14:paraId="357F8FD4" w14:textId="77777777" w:rsidR="0038439A" w:rsidRDefault="0038439A">
      <w:pPr>
        <w:spacing w:before="170" w:after="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0BD9"/>
    <w:multiLevelType w:val="multilevel"/>
    <w:tmpl w:val="6100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evenAndOddHeaders/>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11"/>
    <w:rsid w:val="0001605C"/>
    <w:rsid w:val="00021C12"/>
    <w:rsid w:val="00033B11"/>
    <w:rsid w:val="0004418F"/>
    <w:rsid w:val="000518B0"/>
    <w:rsid w:val="00057725"/>
    <w:rsid w:val="000B4CC6"/>
    <w:rsid w:val="000C3F39"/>
    <w:rsid w:val="00114321"/>
    <w:rsid w:val="00123037"/>
    <w:rsid w:val="00143845"/>
    <w:rsid w:val="001513BC"/>
    <w:rsid w:val="001675A9"/>
    <w:rsid w:val="001800D6"/>
    <w:rsid w:val="001D0E81"/>
    <w:rsid w:val="001D5124"/>
    <w:rsid w:val="001F5173"/>
    <w:rsid w:val="00203409"/>
    <w:rsid w:val="00221E12"/>
    <w:rsid w:val="002434E8"/>
    <w:rsid w:val="002650D4"/>
    <w:rsid w:val="00270FB6"/>
    <w:rsid w:val="00290E8D"/>
    <w:rsid w:val="0029240B"/>
    <w:rsid w:val="00294A56"/>
    <w:rsid w:val="002A70FB"/>
    <w:rsid w:val="002B30D2"/>
    <w:rsid w:val="002B40B7"/>
    <w:rsid w:val="002C35E1"/>
    <w:rsid w:val="00301828"/>
    <w:rsid w:val="00317B55"/>
    <w:rsid w:val="003376B2"/>
    <w:rsid w:val="00341DAB"/>
    <w:rsid w:val="003501E2"/>
    <w:rsid w:val="00353867"/>
    <w:rsid w:val="00360195"/>
    <w:rsid w:val="00366B5D"/>
    <w:rsid w:val="00375D94"/>
    <w:rsid w:val="0038439A"/>
    <w:rsid w:val="003A6419"/>
    <w:rsid w:val="003A7677"/>
    <w:rsid w:val="003B02F6"/>
    <w:rsid w:val="003D6E4A"/>
    <w:rsid w:val="003E5526"/>
    <w:rsid w:val="00434EC9"/>
    <w:rsid w:val="00470B61"/>
    <w:rsid w:val="005056B5"/>
    <w:rsid w:val="00527490"/>
    <w:rsid w:val="005327F0"/>
    <w:rsid w:val="005519E1"/>
    <w:rsid w:val="00552197"/>
    <w:rsid w:val="0055669C"/>
    <w:rsid w:val="00562083"/>
    <w:rsid w:val="0057387F"/>
    <w:rsid w:val="00582AFD"/>
    <w:rsid w:val="005D2B3A"/>
    <w:rsid w:val="005E65E9"/>
    <w:rsid w:val="005F7ADA"/>
    <w:rsid w:val="006121ED"/>
    <w:rsid w:val="006145E1"/>
    <w:rsid w:val="00627907"/>
    <w:rsid w:val="00681099"/>
    <w:rsid w:val="00686247"/>
    <w:rsid w:val="006C3FC1"/>
    <w:rsid w:val="006D22DD"/>
    <w:rsid w:val="00701137"/>
    <w:rsid w:val="00702C08"/>
    <w:rsid w:val="007128F1"/>
    <w:rsid w:val="007447CE"/>
    <w:rsid w:val="00794D13"/>
    <w:rsid w:val="0079578A"/>
    <w:rsid w:val="007A4CBC"/>
    <w:rsid w:val="007B274B"/>
    <w:rsid w:val="007B2DEF"/>
    <w:rsid w:val="007B45E7"/>
    <w:rsid w:val="008741A6"/>
    <w:rsid w:val="00886C46"/>
    <w:rsid w:val="00897154"/>
    <w:rsid w:val="008C2509"/>
    <w:rsid w:val="008E78E1"/>
    <w:rsid w:val="00905AD1"/>
    <w:rsid w:val="00906290"/>
    <w:rsid w:val="009150F0"/>
    <w:rsid w:val="009431EC"/>
    <w:rsid w:val="0095565A"/>
    <w:rsid w:val="0098368C"/>
    <w:rsid w:val="00985BCC"/>
    <w:rsid w:val="009B1048"/>
    <w:rsid w:val="009B19B9"/>
    <w:rsid w:val="009C25FE"/>
    <w:rsid w:val="009D3AD2"/>
    <w:rsid w:val="009D792F"/>
    <w:rsid w:val="009E0D5C"/>
    <w:rsid w:val="00A11457"/>
    <w:rsid w:val="00A36CB6"/>
    <w:rsid w:val="00A376AA"/>
    <w:rsid w:val="00A524AA"/>
    <w:rsid w:val="00A622B3"/>
    <w:rsid w:val="00A82794"/>
    <w:rsid w:val="00AE50C5"/>
    <w:rsid w:val="00B152A4"/>
    <w:rsid w:val="00B446F2"/>
    <w:rsid w:val="00B51567"/>
    <w:rsid w:val="00B6686C"/>
    <w:rsid w:val="00B827A4"/>
    <w:rsid w:val="00BA297C"/>
    <w:rsid w:val="00BD26C7"/>
    <w:rsid w:val="00BE45EC"/>
    <w:rsid w:val="00C15AD8"/>
    <w:rsid w:val="00C328A0"/>
    <w:rsid w:val="00C6060A"/>
    <w:rsid w:val="00C61E97"/>
    <w:rsid w:val="00C62C8F"/>
    <w:rsid w:val="00C67733"/>
    <w:rsid w:val="00C7284C"/>
    <w:rsid w:val="00CB10CF"/>
    <w:rsid w:val="00CC04C5"/>
    <w:rsid w:val="00CC4B4A"/>
    <w:rsid w:val="00CD0262"/>
    <w:rsid w:val="00CE5F0B"/>
    <w:rsid w:val="00CE60D9"/>
    <w:rsid w:val="00CE71AF"/>
    <w:rsid w:val="00D02E87"/>
    <w:rsid w:val="00D13F5C"/>
    <w:rsid w:val="00D87090"/>
    <w:rsid w:val="00DA2349"/>
    <w:rsid w:val="00DA7C4D"/>
    <w:rsid w:val="00DB0D65"/>
    <w:rsid w:val="00DC2B74"/>
    <w:rsid w:val="00DC6679"/>
    <w:rsid w:val="00DD7B1F"/>
    <w:rsid w:val="00DE28A4"/>
    <w:rsid w:val="00DE7196"/>
    <w:rsid w:val="00E110E2"/>
    <w:rsid w:val="00E24E7F"/>
    <w:rsid w:val="00E74D5C"/>
    <w:rsid w:val="00E93B76"/>
    <w:rsid w:val="00ED0980"/>
    <w:rsid w:val="00F11751"/>
    <w:rsid w:val="00F67700"/>
    <w:rsid w:val="00F82C2D"/>
    <w:rsid w:val="00F86A00"/>
    <w:rsid w:val="00F871C6"/>
    <w:rsid w:val="00FC76AE"/>
    <w:rsid w:val="00FE0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864B9"/>
  <w15:docId w15:val="{9EA0A224-4D62-C948-9217-8C5C21E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tima Regular" w:eastAsia="Optima Regular" w:hAnsi="Optima Regular" w:cs="Optima Regular"/>
        <w:sz w:val="24"/>
        <w:szCs w:val="24"/>
        <w:lang w:val="en-US" w:eastAsia="en-US" w:bidi="en-US"/>
        <w14:ligatures w14:val="standardContextual"/>
      </w:rPr>
    </w:rPrDefault>
    <w:pPrDefault>
      <w:pPr>
        <w:suppressAutoHyphens/>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B4A"/>
    <w:pPr>
      <w:spacing w:after="120"/>
    </w:pPr>
    <w:rPr>
      <w:rFonts w:ascii="Calibri" w:hAnsi="Calibri"/>
    </w:rPr>
  </w:style>
  <w:style w:type="paragraph" w:styleId="Heading1">
    <w:name w:val="heading 1"/>
    <w:basedOn w:val="Normal"/>
    <w:uiPriority w:val="9"/>
    <w:qFormat/>
    <w:pPr>
      <w:keepNext/>
      <w:spacing w:line="720" w:lineRule="atLeast"/>
      <w:outlineLvl w:val="0"/>
    </w:pPr>
    <w:rPr>
      <w:b/>
      <w:sz w:val="60"/>
      <w:szCs w:val="60"/>
    </w:rPr>
  </w:style>
  <w:style w:type="paragraph" w:styleId="Heading2">
    <w:name w:val="heading 2"/>
    <w:basedOn w:val="Normal"/>
    <w:link w:val="Heading2Char"/>
    <w:uiPriority w:val="9"/>
    <w:unhideWhenUsed/>
    <w:qFormat/>
    <w:pPr>
      <w:keepNext/>
      <w:spacing w:line="560" w:lineRule="atLeast"/>
      <w:outlineLvl w:val="1"/>
    </w:pPr>
    <w:rPr>
      <w:b/>
      <w:sz w:val="48"/>
      <w:szCs w:val="48"/>
    </w:rPr>
  </w:style>
  <w:style w:type="paragraph" w:styleId="Heading3">
    <w:name w:val="heading 3"/>
    <w:basedOn w:val="Normal"/>
    <w:uiPriority w:val="9"/>
    <w:semiHidden/>
    <w:unhideWhenUsed/>
    <w:qFormat/>
    <w:pPr>
      <w:keepNext/>
      <w:spacing w:line="440" w:lineRule="atLeast"/>
      <w:outlineLvl w:val="2"/>
    </w:pPr>
    <w:rPr>
      <w:sz w:val="40"/>
      <w:szCs w:val="40"/>
    </w:rPr>
  </w:style>
  <w:style w:type="paragraph" w:styleId="Heading4">
    <w:name w:val="heading 4"/>
    <w:basedOn w:val="Normal"/>
    <w:uiPriority w:val="9"/>
    <w:semiHidden/>
    <w:unhideWhenUsed/>
    <w:qFormat/>
    <w:pPr>
      <w:keepNext/>
      <w:outlineLvl w:val="3"/>
    </w:pPr>
    <w:rPr>
      <w:sz w:val="32"/>
      <w:szCs w:val="32"/>
    </w:rPr>
  </w:style>
  <w:style w:type="paragraph" w:styleId="Heading5">
    <w:name w:val="heading 5"/>
    <w:basedOn w:val="Normal"/>
    <w:uiPriority w:val="9"/>
    <w:semiHidden/>
    <w:unhideWhenUsed/>
    <w:qFormat/>
    <w:pPr>
      <w:keepNext/>
      <w:spacing w:line="320" w:lineRule="atLeast"/>
      <w:outlineLvl w:val="4"/>
    </w:pPr>
    <w:rPr>
      <w:szCs w:val="28"/>
      <w:u w:val="single"/>
    </w:rPr>
  </w:style>
  <w:style w:type="paragraph" w:styleId="Heading6">
    <w:name w:val="heading 6"/>
    <w:basedOn w:val="Normal"/>
    <w:uiPriority w:val="9"/>
    <w:semiHidden/>
    <w:unhideWhenUsed/>
    <w:qFormat/>
    <w:pPr>
      <w:keepNext/>
      <w:spacing w:line="240" w:lineRule="atLeas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Block">
    <w:name w:val="Comment Block"/>
    <w:basedOn w:val="Normal"/>
    <w:uiPriority w:val="1"/>
    <w:semiHidden/>
    <w:unhideWhenUsed/>
    <w:qFormat/>
    <w:rPr>
      <w:color w:val="838383"/>
    </w:rPr>
  </w:style>
  <w:style w:type="paragraph" w:customStyle="1" w:styleId="DashedList">
    <w:name w:val="Dashed List"/>
    <w:basedOn w:val="Normal"/>
    <w:uiPriority w:val="1"/>
    <w:qFormat/>
  </w:style>
  <w:style w:type="paragraph" w:styleId="Caption">
    <w:name w:val="caption"/>
    <w:basedOn w:val="Normal"/>
    <w:uiPriority w:val="1"/>
    <w:semiHidden/>
    <w:unhideWhenUsed/>
    <w:qFormat/>
    <w:pPr>
      <w:spacing w:line="300" w:lineRule="atLeast"/>
      <w:jc w:val="center"/>
    </w:pPr>
    <w:rPr>
      <w:sz w:val="20"/>
      <w:szCs w:val="20"/>
    </w:rPr>
  </w:style>
  <w:style w:type="paragraph" w:styleId="FootnoteText">
    <w:name w:val="footnote text"/>
    <w:basedOn w:val="Normal"/>
    <w:uiPriority w:val="1"/>
    <w:qFormat/>
    <w:pPr>
      <w:spacing w:after="170"/>
    </w:pPr>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215" w:lineRule="atLeast"/>
      <w:ind w:hanging="432"/>
    </w:pPr>
    <w:rPr>
      <w:rFonts w:ascii="Courier New" w:eastAsia="Courier New" w:hAnsi="Courier New" w:cs="Courier New"/>
      <w:color w:val="000000"/>
      <w:sz w:val="18"/>
      <w:szCs w:val="18"/>
    </w:rPr>
  </w:style>
  <w:style w:type="paragraph" w:styleId="TOC1">
    <w:name w:val="toc 1"/>
    <w:basedOn w:val="Normal"/>
    <w:uiPriority w:val="1"/>
    <w:semiHidden/>
    <w:unhideWhenUsed/>
    <w:qFormat/>
    <w:pPr>
      <w:spacing w:line="480" w:lineRule="atLeast"/>
    </w:pPr>
    <w:rPr>
      <w:b/>
    </w:rPr>
  </w:style>
  <w:style w:type="paragraph" w:customStyle="1" w:styleId="NumberedList">
    <w:name w:val="Numbered List"/>
    <w:basedOn w:val="Normal"/>
    <w:uiPriority w:val="1"/>
    <w:qFormat/>
  </w:style>
  <w:style w:type="paragraph" w:styleId="Quote">
    <w:name w:val="Quote"/>
    <w:basedOn w:val="Normal"/>
    <w:uiPriority w:val="1"/>
    <w:semiHidden/>
    <w:unhideWhenUsed/>
    <w:qFormat/>
  </w:style>
  <w:style w:type="character" w:styleId="FootnoteReference">
    <w:name w:val="footnote reference"/>
    <w:uiPriority w:val="2"/>
    <w:qFormat/>
    <w:rPr>
      <w:rFonts w:ascii="Optima Regular" w:eastAsia="Optima Regular" w:hAnsi="Optima Regular" w:cs="Optima Regular"/>
      <w:b/>
      <w:sz w:val="20"/>
      <w:szCs w:val="20"/>
      <w:vertAlign w:val="superscript"/>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styleId="Strong">
    <w:name w:val="Strong"/>
    <w:uiPriority w:val="2"/>
    <w:qFormat/>
    <w:rPr>
      <w:rFonts w:ascii="Optima Regular" w:eastAsia="Optima Regular" w:hAnsi="Optima Regular" w:cs="Optima Regular"/>
      <w:b/>
    </w:rPr>
  </w:style>
  <w:style w:type="character" w:customStyle="1" w:styleId="Footnote">
    <w:name w:val="Footnote"/>
    <w:uiPriority w:val="2"/>
    <w:qFormat/>
    <w:rPr>
      <w:rFonts w:ascii="Optima Regular" w:eastAsia="Optima Regular" w:hAnsi="Optima Regular" w:cs="Optima Regular"/>
      <w:b/>
    </w:rPr>
  </w:style>
  <w:style w:type="character" w:customStyle="1" w:styleId="Redact">
    <w:name w:val="Redact"/>
    <w:uiPriority w:val="2"/>
    <w:semiHidden/>
    <w:unhideWhenUsed/>
    <w:qFormat/>
    <w:rPr>
      <w:strike/>
    </w:rPr>
  </w:style>
  <w:style w:type="character" w:customStyle="1" w:styleId="Comment">
    <w:name w:val="Comment"/>
    <w:uiPriority w:val="2"/>
    <w:semiHidden/>
    <w:unhideWhenUsed/>
    <w:qFormat/>
    <w:rPr>
      <w:color w:val="77787B"/>
    </w:rPr>
  </w:style>
  <w:style w:type="character" w:styleId="Emphasis">
    <w:name w:val="Emphasis"/>
    <w:uiPriority w:val="2"/>
    <w:qFormat/>
    <w:rPr>
      <w:rFonts w:ascii="Optima Regular" w:eastAsia="Optima Regular" w:hAnsi="Optima Regular" w:cs="Optima Regular"/>
      <w:i/>
    </w:rPr>
  </w:style>
  <w:style w:type="character" w:customStyle="1" w:styleId="Link">
    <w:name w:val="Link"/>
    <w:uiPriority w:val="2"/>
    <w:qFormat/>
    <w:rPr>
      <w:rFonts w:ascii="Courier New" w:eastAsia="Courier New" w:hAnsi="Courier New" w:cs="Courier New"/>
      <w:u w:val="single"/>
    </w:rPr>
  </w:style>
  <w:style w:type="character" w:customStyle="1" w:styleId="Highlight">
    <w:name w:val="Highlight"/>
    <w:uiPriority w:val="2"/>
    <w:semiHidden/>
    <w:unhideWhenUsed/>
    <w:qFormat/>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sz w:val="18"/>
      <w:szCs w:val="18"/>
    </w:rPr>
  </w:style>
  <w:style w:type="character" w:customStyle="1" w:styleId="Citation">
    <w:name w:val="Citation"/>
    <w:uiPriority w:val="2"/>
    <w:semiHidden/>
    <w:unhideWhenUsed/>
    <w:qFormat/>
    <w:rPr>
      <w:rFonts w:ascii="Optima Regular" w:eastAsia="Optima Regular" w:hAnsi="Optima Regular" w:cs="Optima Regular"/>
      <w:i/>
    </w:rPr>
  </w:style>
  <w:style w:type="paragraph" w:styleId="Footer">
    <w:name w:val="footer"/>
    <w:basedOn w:val="Normal"/>
    <w:link w:val="FooterChar"/>
    <w:uiPriority w:val="99"/>
    <w:unhideWhenUsed/>
    <w:rsid w:val="00DA7C4D"/>
    <w:pPr>
      <w:tabs>
        <w:tab w:val="center" w:pos="4680"/>
        <w:tab w:val="right" w:pos="9360"/>
      </w:tabs>
      <w:spacing w:line="240" w:lineRule="auto"/>
    </w:pPr>
  </w:style>
  <w:style w:type="character" w:customStyle="1" w:styleId="FooterChar">
    <w:name w:val="Footer Char"/>
    <w:basedOn w:val="DefaultParagraphFont"/>
    <w:link w:val="Footer"/>
    <w:uiPriority w:val="99"/>
    <w:rsid w:val="00DA7C4D"/>
  </w:style>
  <w:style w:type="paragraph" w:styleId="Header">
    <w:name w:val="header"/>
    <w:basedOn w:val="Normal"/>
    <w:link w:val="HeaderChar"/>
    <w:uiPriority w:val="99"/>
    <w:unhideWhenUsed/>
    <w:rsid w:val="00DA7C4D"/>
    <w:pPr>
      <w:tabs>
        <w:tab w:val="center" w:pos="4680"/>
        <w:tab w:val="right" w:pos="9360"/>
      </w:tabs>
      <w:spacing w:line="240" w:lineRule="auto"/>
    </w:pPr>
  </w:style>
  <w:style w:type="character" w:customStyle="1" w:styleId="HeaderChar">
    <w:name w:val="Header Char"/>
    <w:basedOn w:val="DefaultParagraphFont"/>
    <w:link w:val="Header"/>
    <w:uiPriority w:val="99"/>
    <w:rsid w:val="00DA7C4D"/>
  </w:style>
  <w:style w:type="paragraph" w:styleId="Revision">
    <w:name w:val="Revision"/>
    <w:hidden/>
    <w:uiPriority w:val="99"/>
    <w:semiHidden/>
    <w:rsid w:val="00ED0980"/>
    <w:pPr>
      <w:suppressAutoHyphens w:val="0"/>
      <w:spacing w:line="240" w:lineRule="auto"/>
    </w:pPr>
  </w:style>
  <w:style w:type="character" w:styleId="CommentReference">
    <w:name w:val="annotation reference"/>
    <w:basedOn w:val="DefaultParagraphFont"/>
    <w:uiPriority w:val="99"/>
    <w:semiHidden/>
    <w:unhideWhenUsed/>
    <w:rsid w:val="00C61E97"/>
    <w:rPr>
      <w:sz w:val="16"/>
      <w:szCs w:val="16"/>
    </w:rPr>
  </w:style>
  <w:style w:type="paragraph" w:styleId="CommentText">
    <w:name w:val="annotation text"/>
    <w:basedOn w:val="Normal"/>
    <w:link w:val="CommentTextChar"/>
    <w:uiPriority w:val="99"/>
    <w:semiHidden/>
    <w:unhideWhenUsed/>
    <w:rsid w:val="00C61E97"/>
    <w:pPr>
      <w:spacing w:line="240" w:lineRule="auto"/>
    </w:pPr>
    <w:rPr>
      <w:sz w:val="20"/>
      <w:szCs w:val="20"/>
    </w:rPr>
  </w:style>
  <w:style w:type="character" w:customStyle="1" w:styleId="CommentTextChar">
    <w:name w:val="Comment Text Char"/>
    <w:basedOn w:val="DefaultParagraphFont"/>
    <w:link w:val="CommentText"/>
    <w:uiPriority w:val="99"/>
    <w:semiHidden/>
    <w:rsid w:val="00C61E97"/>
    <w:rPr>
      <w:sz w:val="20"/>
      <w:szCs w:val="20"/>
    </w:rPr>
  </w:style>
  <w:style w:type="paragraph" w:styleId="CommentSubject">
    <w:name w:val="annotation subject"/>
    <w:basedOn w:val="CommentText"/>
    <w:next w:val="CommentText"/>
    <w:link w:val="CommentSubjectChar"/>
    <w:uiPriority w:val="99"/>
    <w:semiHidden/>
    <w:unhideWhenUsed/>
    <w:rsid w:val="00C61E97"/>
    <w:rPr>
      <w:b/>
      <w:bCs/>
    </w:rPr>
  </w:style>
  <w:style w:type="character" w:customStyle="1" w:styleId="CommentSubjectChar">
    <w:name w:val="Comment Subject Char"/>
    <w:basedOn w:val="CommentTextChar"/>
    <w:link w:val="CommentSubject"/>
    <w:uiPriority w:val="99"/>
    <w:semiHidden/>
    <w:rsid w:val="00C61E97"/>
    <w:rPr>
      <w:b/>
      <w:bCs/>
      <w:sz w:val="20"/>
      <w:szCs w:val="20"/>
    </w:rPr>
  </w:style>
  <w:style w:type="character" w:customStyle="1" w:styleId="Heading2Char">
    <w:name w:val="Heading 2 Char"/>
    <w:basedOn w:val="DefaultParagraphFont"/>
    <w:link w:val="Heading2"/>
    <w:uiPriority w:val="9"/>
    <w:rsid w:val="00375D94"/>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71c2fa2a8b240f12f2ee2c59f153a2e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F1B4A-D332-4E0E-BC9B-71B7CEA4EC95}"/>
</file>

<file path=customXml/itemProps2.xml><?xml version="1.0" encoding="utf-8"?>
<ds:datastoreItem xmlns:ds="http://schemas.openxmlformats.org/officeDocument/2006/customXml" ds:itemID="{7D711F6D-4DDC-4B81-A8C6-515177250756}"/>
</file>

<file path=customXml/itemProps3.xml><?xml version="1.0" encoding="utf-8"?>
<ds:datastoreItem xmlns:ds="http://schemas.openxmlformats.org/officeDocument/2006/customXml" ds:itemID="{04E28ED2-BB7F-4E84-94FD-7B30CCD12997}"/>
</file>

<file path=docProps/app.xml><?xml version="1.0" encoding="utf-8"?>
<Properties xmlns="http://schemas.openxmlformats.org/officeDocument/2006/extended-properties" xmlns:vt="http://schemas.openxmlformats.org/officeDocument/2006/docPropsVTypes">
  <Template>Normal.dotm</Template>
  <TotalTime>2</TotalTime>
  <Pages>5</Pages>
  <Words>1802</Words>
  <Characters>10670</Characters>
  <Application>Microsoft Office Word</Application>
  <DocSecurity>0</DocSecurity>
  <Lines>154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the Generative AI Risk Space</dc:title>
  <cp:lastModifiedBy>Cheryl A Miller</cp:lastModifiedBy>
  <cp:revision>3</cp:revision>
  <dcterms:created xsi:type="dcterms:W3CDTF">2026-01-14T19:47:00Z</dcterms:created>
  <dcterms:modified xsi:type="dcterms:W3CDTF">2026-01-14T19:50:00Z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1902;#Audio|430eaa2c-5ec1-42ec-be17-9836132fd5d3;#2199;#Lefebvre, Hippolyte|580f7d86-bad2-4d46-9344-a897bca1e9d4;#1576;#van der Meulen, Nick|912cc601-23aa-4917-9d8d-db78b7f1f65e;#1589;#Wixom, Barbara|f1adb51d-2481-42ea-b847-566038fd3739</vt:lpwstr>
  </property>
  <property fmtid="{D5CDD505-2E9C-101B-9397-08002B2CF9AE}" pid="6" name="Account">
    <vt:lpwstr/>
  </property>
  <property fmtid="{D5CDD505-2E9C-101B-9397-08002B2CF9AE}" pid="7" name="SubType">
    <vt:lpwstr>Other</vt:lpwstr>
  </property>
  <property fmtid="{D5CDD505-2E9C-101B-9397-08002B2CF9AE}" pid="8" name="PublicationType">
    <vt:lpwstr>1902;#Audio|430eaa2c-5ec1-42ec-be17-9836132fd5d3</vt:lpwstr>
  </property>
  <property fmtid="{D5CDD505-2E9C-101B-9397-08002B2CF9AE}" pid="9" name="a04f79b7d2904f22a3c9270bce2f8d80">
    <vt:lpwstr/>
  </property>
  <property fmtid="{D5CDD505-2E9C-101B-9397-08002B2CF9AE}" pid="10" name="g8a31611a4f94460950c11aa266440d9">
    <vt:lpwstr>Audio|430eaa2c-5ec1-42ec-be17-9836132fd5d3</vt:lpwstr>
  </property>
  <property fmtid="{D5CDD505-2E9C-101B-9397-08002B2CF9AE}" pid="11" name="Contact">
    <vt:lpwstr>1576;#van der Meulen, Nick|912cc601-23aa-4917-9d8d-db78b7f1f65e;#2199;#Lefebvre, Hippolyte|580f7d86-bad2-4d46-9344-a897bca1e9d4;#1589;#Wixom, Barbara|f1adb51d-2481-42ea-b847-566038fd3739</vt:lpwstr>
  </property>
  <property fmtid="{D5CDD505-2E9C-101B-9397-08002B2CF9AE}" pid="12" name="nc2362c3a0ab4baf8b2a7623e62605b6">
    <vt:lpwstr>van der Meulen, Nick|912cc601-23aa-4917-9d8d-db78b7f1f65e;Lefebvre, Hippolyte|580f7d86-bad2-4d46-9344-a897bca1e9d4;Wixom, Barbara|f1adb51d-2481-42ea-b847-566038fd3739</vt:lpwstr>
  </property>
  <property fmtid="{D5CDD505-2E9C-101B-9397-08002B2CF9AE}" pid="13" name="i232e001587f43e8b7d8a992303567d5">
    <vt:lpwstr/>
  </property>
  <property fmtid="{D5CDD505-2E9C-101B-9397-08002B2CF9AE}" pid="14" name="Year">
    <vt:lpwstr/>
  </property>
</Properties>
</file>