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DAA8" w14:textId="77777777" w:rsidR="00C962AD" w:rsidRPr="00C962AD" w:rsidRDefault="00C962AD" w:rsidP="00C962AD">
      <w:pPr>
        <w:rPr>
          <w:sz w:val="22"/>
          <w:szCs w:val="22"/>
        </w:rPr>
      </w:pPr>
      <w:r w:rsidRPr="00C962AD">
        <w:rPr>
          <w:sz w:val="22"/>
          <w:szCs w:val="22"/>
        </w:rPr>
        <w:t>Speaker 1:</w:t>
      </w:r>
      <w:r w:rsidRPr="00C962AD">
        <w:rPr>
          <w:sz w:val="22"/>
          <w:szCs w:val="22"/>
        </w:rPr>
        <w:tab/>
        <w:t>Welcome to the MIT CISR Research Briefing series. The Center for Information Systems Research is based at the Sloan School of Management at MIT. We study digital transformation.</w:t>
      </w:r>
    </w:p>
    <w:p w14:paraId="23769A60" w14:textId="61E619E3" w:rsidR="006F4334" w:rsidRPr="00C962AD" w:rsidRDefault="00C962AD" w:rsidP="00C962AD">
      <w:pPr>
        <w:rPr>
          <w:sz w:val="22"/>
          <w:szCs w:val="22"/>
        </w:rPr>
      </w:pPr>
      <w:r w:rsidRPr="00C962AD">
        <w:rPr>
          <w:sz w:val="22"/>
          <w:szCs w:val="22"/>
        </w:rPr>
        <w:t xml:space="preserve">Nick van der </w:t>
      </w:r>
      <w:proofErr w:type="spellStart"/>
      <w:r w:rsidRPr="00C962AD">
        <w:rPr>
          <w:sz w:val="22"/>
          <w:szCs w:val="22"/>
        </w:rPr>
        <w:t>Meulen</w:t>
      </w:r>
      <w:proofErr w:type="spellEnd"/>
      <w:r w:rsidRPr="00C962AD">
        <w:rPr>
          <w:sz w:val="22"/>
          <w:szCs w:val="22"/>
        </w:rPr>
        <w:t xml:space="preserve">: </w:t>
      </w:r>
      <w:r w:rsidR="006F4334" w:rsidRPr="00C962AD">
        <w:rPr>
          <w:sz w:val="22"/>
          <w:szCs w:val="22"/>
        </w:rPr>
        <w:t xml:space="preserve">Hi, I’m Nick van der </w:t>
      </w:r>
      <w:proofErr w:type="spellStart"/>
      <w:r w:rsidR="006F4334" w:rsidRPr="00C962AD">
        <w:rPr>
          <w:sz w:val="22"/>
          <w:szCs w:val="22"/>
        </w:rPr>
        <w:t>Meulen</w:t>
      </w:r>
      <w:proofErr w:type="spellEnd"/>
      <w:r w:rsidR="006F4334" w:rsidRPr="00C962AD">
        <w:rPr>
          <w:sz w:val="22"/>
          <w:szCs w:val="22"/>
        </w:rPr>
        <w:t xml:space="preserve">, a research scientist with MIT CISR. Today I’m excited to share with you the September 2025 research briefing that I co-authored with Ida </w:t>
      </w:r>
      <w:proofErr w:type="spellStart"/>
      <w:r w:rsidR="006F4334" w:rsidRPr="00C962AD">
        <w:rPr>
          <w:sz w:val="22"/>
          <w:szCs w:val="22"/>
        </w:rPr>
        <w:t>Someh</w:t>
      </w:r>
      <w:proofErr w:type="spellEnd"/>
      <w:r w:rsidR="006F4334" w:rsidRPr="00C962AD">
        <w:rPr>
          <w:sz w:val="22"/>
          <w:szCs w:val="22"/>
        </w:rPr>
        <w:t>, Barb Wixom, and Cynthia Beath—</w:t>
      </w:r>
    </w:p>
    <w:p w14:paraId="675E3EF0" w14:textId="5680BA44" w:rsidR="004C2FB3" w:rsidRPr="00C962AD" w:rsidRDefault="00000000" w:rsidP="00C962AD">
      <w:pPr>
        <w:rPr>
          <w:sz w:val="22"/>
          <w:szCs w:val="22"/>
        </w:rPr>
      </w:pPr>
      <w:r w:rsidRPr="00C962AD">
        <w:rPr>
          <w:sz w:val="22"/>
          <w:szCs w:val="22"/>
        </w:rPr>
        <w:t>Mobilize Your Data Democracy</w:t>
      </w:r>
    </w:p>
    <w:p w14:paraId="18AA2260" w14:textId="6DFF9DB4" w:rsidR="006F4334" w:rsidRPr="00C962AD" w:rsidRDefault="00000000" w:rsidP="00C962AD">
      <w:pPr>
        <w:rPr>
          <w:sz w:val="22"/>
          <w:szCs w:val="22"/>
        </w:rPr>
      </w:pPr>
      <w:r w:rsidRPr="00C962AD">
        <w:rPr>
          <w:sz w:val="22"/>
          <w:szCs w:val="22"/>
        </w:rPr>
        <w:t>MIT CISR research has shown that to achieve greater organizational agility, leaders must empower their teams with operational decision rights to identify new opportunities, analyze potential solutions, make well-informed decisions, and experiment with confidence. For such empowerment to succeed, however, organizations need to establish</w:t>
      </w:r>
      <w:r w:rsidR="00767587" w:rsidRPr="00C962AD">
        <w:rPr>
          <w:sz w:val="22"/>
          <w:szCs w:val="22"/>
        </w:rPr>
        <w:t xml:space="preserve"> a data democracy as </w:t>
      </w:r>
      <w:r w:rsidRPr="00C962AD">
        <w:rPr>
          <w:sz w:val="22"/>
          <w:szCs w:val="22"/>
        </w:rPr>
        <w:t>one of four decision rights guardrails</w:t>
      </w:r>
      <w:r w:rsidR="00767587" w:rsidRPr="00C962AD">
        <w:rPr>
          <w:sz w:val="22"/>
          <w:szCs w:val="22"/>
        </w:rPr>
        <w:t>. A</w:t>
      </w:r>
      <w:r w:rsidRPr="00C962AD">
        <w:rPr>
          <w:sz w:val="22"/>
          <w:szCs w:val="22"/>
        </w:rPr>
        <w:t xml:space="preserve"> data democracy</w:t>
      </w:r>
      <w:r w:rsidR="00767587" w:rsidRPr="00C962AD">
        <w:rPr>
          <w:sz w:val="22"/>
          <w:szCs w:val="22"/>
        </w:rPr>
        <w:t xml:space="preserve"> is</w:t>
      </w:r>
      <w:r w:rsidRPr="00C962AD">
        <w:rPr>
          <w:sz w:val="22"/>
          <w:szCs w:val="22"/>
        </w:rPr>
        <w:t xml:space="preserve"> an organizational state whereby employees regularly and universally </w:t>
      </w:r>
      <w:r w:rsidR="00DE6452" w:rsidRPr="00C962AD">
        <w:rPr>
          <w:sz w:val="22"/>
          <w:szCs w:val="22"/>
        </w:rPr>
        <w:t>have</w:t>
      </w:r>
      <w:r w:rsidR="00AC7672">
        <w:rPr>
          <w:sz w:val="22"/>
          <w:szCs w:val="22"/>
        </w:rPr>
        <w:t>:</w:t>
      </w:r>
    </w:p>
    <w:p w14:paraId="25A16A5C" w14:textId="648D97C4" w:rsidR="004C2FB3" w:rsidRPr="00C962AD" w:rsidRDefault="00AC7672" w:rsidP="00C962AD">
      <w:pPr>
        <w:rPr>
          <w:sz w:val="22"/>
          <w:szCs w:val="22"/>
        </w:rPr>
      </w:pPr>
      <w:r>
        <w:rPr>
          <w:sz w:val="22"/>
          <w:szCs w:val="22"/>
        </w:rPr>
        <w:t>O</w:t>
      </w:r>
      <w:r w:rsidR="006F4334" w:rsidRPr="00C962AD">
        <w:rPr>
          <w:sz w:val="22"/>
          <w:szCs w:val="22"/>
        </w:rPr>
        <w:t>ne, access to data assets</w:t>
      </w:r>
      <w:r w:rsidR="006F4334" w:rsidRPr="00C962AD">
        <w:rPr>
          <w:sz w:val="22"/>
          <w:szCs w:val="22"/>
        </w:rPr>
        <w:br/>
      </w:r>
      <w:r>
        <w:rPr>
          <w:sz w:val="22"/>
          <w:szCs w:val="22"/>
        </w:rPr>
        <w:t>T</w:t>
      </w:r>
      <w:r w:rsidR="006F4334" w:rsidRPr="00C962AD">
        <w:rPr>
          <w:sz w:val="22"/>
          <w:szCs w:val="22"/>
        </w:rPr>
        <w:t xml:space="preserve">wo, the skills to exploit </w:t>
      </w:r>
      <w:r w:rsidR="00DE6452" w:rsidRPr="00C962AD">
        <w:rPr>
          <w:sz w:val="22"/>
          <w:szCs w:val="22"/>
        </w:rPr>
        <w:t>the</w:t>
      </w:r>
      <w:r w:rsidR="0097246C" w:rsidRPr="00C962AD">
        <w:rPr>
          <w:sz w:val="22"/>
          <w:szCs w:val="22"/>
        </w:rPr>
        <w:t>m</w:t>
      </w:r>
      <w:r w:rsidR="006F4334" w:rsidRPr="00C962AD">
        <w:rPr>
          <w:sz w:val="22"/>
          <w:szCs w:val="22"/>
        </w:rPr>
        <w:br/>
      </w:r>
      <w:r>
        <w:rPr>
          <w:sz w:val="22"/>
          <w:szCs w:val="22"/>
        </w:rPr>
        <w:t>T</w:t>
      </w:r>
      <w:r w:rsidR="006F4334" w:rsidRPr="00C962AD">
        <w:rPr>
          <w:sz w:val="22"/>
          <w:szCs w:val="22"/>
        </w:rPr>
        <w:t xml:space="preserve">hree, </w:t>
      </w:r>
      <w:r w:rsidR="00F8570D" w:rsidRPr="00C962AD">
        <w:rPr>
          <w:sz w:val="22"/>
          <w:szCs w:val="22"/>
        </w:rPr>
        <w:t xml:space="preserve">the </w:t>
      </w:r>
      <w:r w:rsidR="00DE6452" w:rsidRPr="00C962AD">
        <w:rPr>
          <w:sz w:val="22"/>
          <w:szCs w:val="22"/>
        </w:rPr>
        <w:t xml:space="preserve">motivation </w:t>
      </w:r>
      <w:r w:rsidR="006F4334" w:rsidRPr="00C962AD">
        <w:rPr>
          <w:sz w:val="22"/>
          <w:szCs w:val="22"/>
        </w:rPr>
        <w:t xml:space="preserve">to engage with </w:t>
      </w:r>
      <w:r w:rsidR="00DE6452" w:rsidRPr="00C962AD">
        <w:rPr>
          <w:sz w:val="22"/>
          <w:szCs w:val="22"/>
        </w:rPr>
        <w:t>the</w:t>
      </w:r>
      <w:r w:rsidR="0097246C" w:rsidRPr="00C962AD">
        <w:rPr>
          <w:sz w:val="22"/>
          <w:szCs w:val="22"/>
        </w:rPr>
        <w:t>m</w:t>
      </w:r>
      <w:r w:rsidR="006F4334" w:rsidRPr="00C962AD">
        <w:rPr>
          <w:sz w:val="22"/>
          <w:szCs w:val="22"/>
        </w:rPr>
        <w:t>, and</w:t>
      </w:r>
      <w:r w:rsidR="006F4334" w:rsidRPr="00C962AD">
        <w:rPr>
          <w:sz w:val="22"/>
          <w:szCs w:val="22"/>
        </w:rPr>
        <w:br/>
      </w:r>
      <w:r>
        <w:rPr>
          <w:sz w:val="22"/>
          <w:szCs w:val="22"/>
        </w:rPr>
        <w:t>F</w:t>
      </w:r>
      <w:r w:rsidR="006F4334" w:rsidRPr="00C962AD">
        <w:rPr>
          <w:sz w:val="22"/>
          <w:szCs w:val="22"/>
        </w:rPr>
        <w:t xml:space="preserve">our, </w:t>
      </w:r>
      <w:r w:rsidR="00DE6452" w:rsidRPr="00C962AD">
        <w:rPr>
          <w:sz w:val="22"/>
          <w:szCs w:val="22"/>
        </w:rPr>
        <w:t xml:space="preserve">guidance </w:t>
      </w:r>
      <w:r w:rsidR="006F4334" w:rsidRPr="00C962AD">
        <w:rPr>
          <w:sz w:val="22"/>
          <w:szCs w:val="22"/>
        </w:rPr>
        <w:t xml:space="preserve">to use </w:t>
      </w:r>
      <w:r w:rsidR="00DE6452" w:rsidRPr="00C962AD">
        <w:rPr>
          <w:sz w:val="22"/>
          <w:szCs w:val="22"/>
        </w:rPr>
        <w:t>the</w:t>
      </w:r>
      <w:r w:rsidR="0097246C" w:rsidRPr="00C962AD">
        <w:rPr>
          <w:sz w:val="22"/>
          <w:szCs w:val="22"/>
        </w:rPr>
        <w:t>m</w:t>
      </w:r>
      <w:r w:rsidR="006F4334" w:rsidRPr="00C962AD">
        <w:rPr>
          <w:sz w:val="22"/>
          <w:szCs w:val="22"/>
        </w:rPr>
        <w:t xml:space="preserve"> strategically.</w:t>
      </w:r>
    </w:p>
    <w:p w14:paraId="3C7A17D9" w14:textId="7C11953F" w:rsidR="004C2FB3" w:rsidRPr="00C962AD" w:rsidRDefault="00000000" w:rsidP="00C962AD">
      <w:pPr>
        <w:rPr>
          <w:sz w:val="22"/>
          <w:szCs w:val="22"/>
        </w:rPr>
      </w:pPr>
      <w:r w:rsidRPr="00C962AD">
        <w:rPr>
          <w:sz w:val="22"/>
          <w:szCs w:val="22"/>
        </w:rPr>
        <w:t xml:space="preserve">Achieving </w:t>
      </w:r>
      <w:r w:rsidR="00767587" w:rsidRPr="00C962AD">
        <w:rPr>
          <w:sz w:val="22"/>
          <w:szCs w:val="22"/>
        </w:rPr>
        <w:t xml:space="preserve">this state </w:t>
      </w:r>
      <w:r w:rsidR="005D6D3C" w:rsidRPr="00C962AD">
        <w:rPr>
          <w:sz w:val="22"/>
          <w:szCs w:val="22"/>
        </w:rPr>
        <w:t>is</w:t>
      </w:r>
      <w:r w:rsidRPr="00C962AD">
        <w:rPr>
          <w:sz w:val="22"/>
          <w:szCs w:val="22"/>
        </w:rPr>
        <w:t xml:space="preserve"> a challenge for many organizations. Our latest research shows that, on average, only </w:t>
      </w:r>
      <w:r w:rsidR="00DE6452" w:rsidRPr="00C962AD">
        <w:rPr>
          <w:sz w:val="22"/>
          <w:szCs w:val="22"/>
        </w:rPr>
        <w:t>28</w:t>
      </w:r>
      <w:r w:rsidRPr="00C962AD">
        <w:rPr>
          <w:sz w:val="22"/>
          <w:szCs w:val="22"/>
        </w:rPr>
        <w:t xml:space="preserve"> percent of employees typically </w:t>
      </w:r>
      <w:r w:rsidR="003422A3" w:rsidRPr="00C962AD">
        <w:rPr>
          <w:sz w:val="22"/>
          <w:szCs w:val="22"/>
        </w:rPr>
        <w:t>draw on</w:t>
      </w:r>
      <w:r w:rsidRPr="00C962AD">
        <w:rPr>
          <w:sz w:val="22"/>
          <w:szCs w:val="22"/>
        </w:rPr>
        <w:t xml:space="preserve"> </w:t>
      </w:r>
      <w:r w:rsidR="003422A3" w:rsidRPr="00C962AD">
        <w:rPr>
          <w:sz w:val="22"/>
          <w:szCs w:val="22"/>
        </w:rPr>
        <w:t xml:space="preserve">reusable </w:t>
      </w:r>
      <w:r w:rsidR="00F83FB1" w:rsidRPr="00C962AD">
        <w:rPr>
          <w:sz w:val="22"/>
          <w:szCs w:val="22"/>
        </w:rPr>
        <w:t>data assets</w:t>
      </w:r>
      <w:r w:rsidR="00A61021" w:rsidRPr="00C962AD">
        <w:rPr>
          <w:sz w:val="22"/>
          <w:szCs w:val="22"/>
        </w:rPr>
        <w:t xml:space="preserve"> such as data about customers, operations, process performance, and costs. </w:t>
      </w:r>
      <w:r w:rsidR="00DE6452" w:rsidRPr="00C962AD">
        <w:rPr>
          <w:sz w:val="22"/>
          <w:szCs w:val="22"/>
        </w:rPr>
        <w:t>E</w:t>
      </w:r>
      <w:r w:rsidR="00BD50A0" w:rsidRPr="00C962AD">
        <w:rPr>
          <w:sz w:val="22"/>
          <w:szCs w:val="22"/>
        </w:rPr>
        <w:t xml:space="preserve">mployees not </w:t>
      </w:r>
      <w:r w:rsidR="003422A3" w:rsidRPr="00C962AD">
        <w:rPr>
          <w:sz w:val="22"/>
          <w:szCs w:val="22"/>
        </w:rPr>
        <w:t xml:space="preserve">using available </w:t>
      </w:r>
      <w:r w:rsidR="00BD50A0" w:rsidRPr="00C962AD">
        <w:rPr>
          <w:sz w:val="22"/>
          <w:szCs w:val="22"/>
        </w:rPr>
        <w:t>data represent a</w:t>
      </w:r>
      <w:r w:rsidRPr="00C962AD">
        <w:rPr>
          <w:sz w:val="22"/>
          <w:szCs w:val="22"/>
        </w:rPr>
        <w:t xml:space="preserve"> costly gap, as </w:t>
      </w:r>
      <w:r w:rsidR="00F83FB1" w:rsidRPr="00C962AD">
        <w:rPr>
          <w:sz w:val="22"/>
          <w:szCs w:val="22"/>
        </w:rPr>
        <w:t xml:space="preserve">it is </w:t>
      </w:r>
      <w:r w:rsidRPr="00C962AD">
        <w:rPr>
          <w:sz w:val="22"/>
          <w:szCs w:val="22"/>
        </w:rPr>
        <w:t xml:space="preserve">data asset use </w:t>
      </w:r>
      <w:r w:rsidR="00F83FB1" w:rsidRPr="00C962AD">
        <w:rPr>
          <w:sz w:val="22"/>
          <w:szCs w:val="22"/>
        </w:rPr>
        <w:t xml:space="preserve">that </w:t>
      </w:r>
      <w:r w:rsidRPr="00C962AD">
        <w:rPr>
          <w:sz w:val="22"/>
          <w:szCs w:val="22"/>
        </w:rPr>
        <w:t>drives financial returns</w:t>
      </w:r>
      <w:r w:rsidR="00767587" w:rsidRPr="00C962AD">
        <w:rPr>
          <w:sz w:val="22"/>
          <w:szCs w:val="22"/>
        </w:rPr>
        <w:t xml:space="preserve">. </w:t>
      </w:r>
      <w:r w:rsidR="003422A3" w:rsidRPr="00C962AD">
        <w:rPr>
          <w:sz w:val="22"/>
          <w:szCs w:val="22"/>
        </w:rPr>
        <w:t>In organizations where at least one-third of employees use data assets, d</w:t>
      </w:r>
      <w:r w:rsidRPr="00C962AD">
        <w:rPr>
          <w:sz w:val="22"/>
          <w:szCs w:val="22"/>
        </w:rPr>
        <w:t>ata monetization initiatives account for 15</w:t>
      </w:r>
      <w:r w:rsidR="00DE6452" w:rsidRPr="00C962AD">
        <w:rPr>
          <w:sz w:val="22"/>
          <w:szCs w:val="22"/>
        </w:rPr>
        <w:t xml:space="preserve"> percent </w:t>
      </w:r>
      <w:r w:rsidRPr="00C962AD">
        <w:rPr>
          <w:sz w:val="22"/>
          <w:szCs w:val="22"/>
        </w:rPr>
        <w:t>of total revenues</w:t>
      </w:r>
      <w:r w:rsidR="0064039B" w:rsidRPr="00C962AD">
        <w:rPr>
          <w:sz w:val="22"/>
          <w:szCs w:val="22"/>
        </w:rPr>
        <w:t>; i</w:t>
      </w:r>
      <w:r w:rsidR="003422A3" w:rsidRPr="00C962AD">
        <w:rPr>
          <w:sz w:val="22"/>
          <w:szCs w:val="22"/>
        </w:rPr>
        <w:t xml:space="preserve">n organizations with </w:t>
      </w:r>
      <w:r w:rsidR="008E55DD" w:rsidRPr="00C962AD">
        <w:rPr>
          <w:sz w:val="22"/>
          <w:szCs w:val="22"/>
        </w:rPr>
        <w:t xml:space="preserve">less </w:t>
      </w:r>
      <w:r w:rsidR="003422A3" w:rsidRPr="00C962AD">
        <w:rPr>
          <w:sz w:val="22"/>
          <w:szCs w:val="22"/>
        </w:rPr>
        <w:t>use</w:t>
      </w:r>
      <w:r w:rsidRPr="00C962AD">
        <w:rPr>
          <w:sz w:val="22"/>
          <w:szCs w:val="22"/>
        </w:rPr>
        <w:t xml:space="preserve">, that figure is </w:t>
      </w:r>
      <w:r w:rsidR="00F83FB1" w:rsidRPr="00C962AD">
        <w:rPr>
          <w:sz w:val="22"/>
          <w:szCs w:val="22"/>
        </w:rPr>
        <w:t>under 5</w:t>
      </w:r>
      <w:r w:rsidR="00F8570D" w:rsidRPr="00C962AD">
        <w:rPr>
          <w:sz w:val="22"/>
          <w:szCs w:val="22"/>
        </w:rPr>
        <w:t xml:space="preserve"> percent</w:t>
      </w:r>
      <w:r w:rsidRPr="00C962AD">
        <w:rPr>
          <w:sz w:val="22"/>
          <w:szCs w:val="22"/>
        </w:rPr>
        <w:t xml:space="preserve">. </w:t>
      </w:r>
    </w:p>
    <w:p w14:paraId="5DE5287E" w14:textId="2103E132" w:rsidR="00F95669" w:rsidRPr="00C962AD" w:rsidRDefault="00000000" w:rsidP="00C962AD">
      <w:pPr>
        <w:rPr>
          <w:sz w:val="22"/>
          <w:szCs w:val="22"/>
        </w:rPr>
      </w:pPr>
      <w:r w:rsidRPr="00C962AD">
        <w:rPr>
          <w:sz w:val="22"/>
          <w:szCs w:val="22"/>
        </w:rPr>
        <w:t xml:space="preserve">Most seasoned leaders </w:t>
      </w:r>
      <w:r w:rsidR="00F83FB1" w:rsidRPr="00C962AD">
        <w:rPr>
          <w:sz w:val="22"/>
          <w:szCs w:val="22"/>
        </w:rPr>
        <w:t xml:space="preserve">know </w:t>
      </w:r>
      <w:r w:rsidRPr="00C962AD">
        <w:rPr>
          <w:sz w:val="22"/>
          <w:szCs w:val="22"/>
        </w:rPr>
        <w:t xml:space="preserve">that the </w:t>
      </w:r>
      <w:r w:rsidR="00100EA3" w:rsidRPr="00C962AD">
        <w:rPr>
          <w:sz w:val="22"/>
          <w:szCs w:val="22"/>
        </w:rPr>
        <w:t xml:space="preserve">availability </w:t>
      </w:r>
      <w:r w:rsidRPr="00C962AD">
        <w:rPr>
          <w:sz w:val="22"/>
          <w:szCs w:val="22"/>
        </w:rPr>
        <w:t xml:space="preserve">of data assets does not automatically lead to their use; achieving a data democracy requires intentional design. </w:t>
      </w:r>
      <w:r w:rsidR="00643F63" w:rsidRPr="00C962AD">
        <w:rPr>
          <w:sz w:val="22"/>
          <w:szCs w:val="22"/>
        </w:rPr>
        <w:t xml:space="preserve">In this briefing, we outline a framework for </w:t>
      </w:r>
      <w:r w:rsidR="00767587" w:rsidRPr="00C962AD">
        <w:rPr>
          <w:sz w:val="22"/>
          <w:szCs w:val="22"/>
        </w:rPr>
        <w:t>driving</w:t>
      </w:r>
      <w:r w:rsidR="00643F63" w:rsidRPr="00C962AD">
        <w:rPr>
          <w:sz w:val="22"/>
          <w:szCs w:val="22"/>
        </w:rPr>
        <w:t xml:space="preserve"> data asset use </w:t>
      </w:r>
      <w:r w:rsidR="00B6680A" w:rsidRPr="00C962AD">
        <w:rPr>
          <w:sz w:val="22"/>
          <w:szCs w:val="22"/>
        </w:rPr>
        <w:t>based</w:t>
      </w:r>
      <w:r w:rsidR="00643F63" w:rsidRPr="00C962AD">
        <w:rPr>
          <w:sz w:val="22"/>
          <w:szCs w:val="22"/>
        </w:rPr>
        <w:t xml:space="preserve"> on</w:t>
      </w:r>
      <w:r w:rsidR="00B5409A" w:rsidRPr="00C962AD">
        <w:rPr>
          <w:sz w:val="22"/>
          <w:szCs w:val="22"/>
        </w:rPr>
        <w:t xml:space="preserve"> </w:t>
      </w:r>
      <w:r w:rsidR="00E85023" w:rsidRPr="00C962AD">
        <w:rPr>
          <w:sz w:val="22"/>
          <w:szCs w:val="22"/>
        </w:rPr>
        <w:t>democratization</w:t>
      </w:r>
      <w:r w:rsidR="00643F63" w:rsidRPr="00C962AD">
        <w:rPr>
          <w:sz w:val="22"/>
          <w:szCs w:val="22"/>
        </w:rPr>
        <w:t xml:space="preserve"> practices</w:t>
      </w:r>
      <w:r w:rsidR="00314B5A" w:rsidRPr="00C962AD">
        <w:rPr>
          <w:sz w:val="22"/>
          <w:szCs w:val="22"/>
        </w:rPr>
        <w:t xml:space="preserve"> regarding</w:t>
      </w:r>
      <w:r w:rsidR="00643F63" w:rsidRPr="00C962AD">
        <w:rPr>
          <w:sz w:val="22"/>
          <w:szCs w:val="22"/>
        </w:rPr>
        <w:t xml:space="preserve"> access, skills, motivation, and guidance</w:t>
      </w:r>
      <w:r w:rsidR="00314B5A" w:rsidRPr="00C962AD">
        <w:rPr>
          <w:sz w:val="22"/>
          <w:szCs w:val="22"/>
        </w:rPr>
        <w:t xml:space="preserve">, </w:t>
      </w:r>
      <w:r w:rsidR="00467553" w:rsidRPr="00C962AD">
        <w:rPr>
          <w:sz w:val="22"/>
          <w:szCs w:val="22"/>
        </w:rPr>
        <w:t xml:space="preserve">and </w:t>
      </w:r>
      <w:r w:rsidR="009E581D" w:rsidRPr="00C962AD">
        <w:rPr>
          <w:sz w:val="22"/>
          <w:szCs w:val="22"/>
        </w:rPr>
        <w:t xml:space="preserve">the </w:t>
      </w:r>
      <w:r w:rsidR="00467553" w:rsidRPr="00C962AD">
        <w:rPr>
          <w:sz w:val="22"/>
          <w:szCs w:val="22"/>
        </w:rPr>
        <w:t xml:space="preserve">connecting structures that </w:t>
      </w:r>
      <w:r w:rsidR="009E581D" w:rsidRPr="00C962AD">
        <w:rPr>
          <w:sz w:val="22"/>
          <w:szCs w:val="22"/>
        </w:rPr>
        <w:t>amplify them</w:t>
      </w:r>
      <w:r w:rsidR="006F4334" w:rsidRPr="00C962AD">
        <w:rPr>
          <w:sz w:val="22"/>
          <w:szCs w:val="22"/>
        </w:rPr>
        <w:t>.</w:t>
      </w:r>
      <w:r w:rsidRPr="00C962AD">
        <w:rPr>
          <w:sz w:val="22"/>
          <w:szCs w:val="22"/>
        </w:rPr>
        <w:t xml:space="preserve"> By systematically investing in </w:t>
      </w:r>
      <w:r w:rsidR="00767587" w:rsidRPr="00C962AD">
        <w:rPr>
          <w:sz w:val="22"/>
          <w:szCs w:val="22"/>
        </w:rPr>
        <w:t>these</w:t>
      </w:r>
      <w:r w:rsidR="004C63A0" w:rsidRPr="00C962AD">
        <w:rPr>
          <w:sz w:val="22"/>
          <w:szCs w:val="22"/>
        </w:rPr>
        <w:t xml:space="preserve"> </w:t>
      </w:r>
      <w:r w:rsidR="00095D84" w:rsidRPr="00C962AD">
        <w:rPr>
          <w:sz w:val="22"/>
          <w:szCs w:val="22"/>
        </w:rPr>
        <w:t>practices</w:t>
      </w:r>
      <w:r w:rsidR="00095D84" w:rsidRPr="00C962AD" w:rsidDel="00B5409A">
        <w:rPr>
          <w:sz w:val="22"/>
          <w:szCs w:val="22"/>
        </w:rPr>
        <w:t xml:space="preserve"> </w:t>
      </w:r>
      <w:r w:rsidR="00095D84" w:rsidRPr="00C962AD">
        <w:rPr>
          <w:sz w:val="22"/>
          <w:szCs w:val="22"/>
        </w:rPr>
        <w:t xml:space="preserve">and </w:t>
      </w:r>
      <w:r w:rsidR="004C63A0" w:rsidRPr="00C962AD">
        <w:rPr>
          <w:sz w:val="22"/>
          <w:szCs w:val="22"/>
        </w:rPr>
        <w:t>structures</w:t>
      </w:r>
      <w:r w:rsidRPr="00C962AD">
        <w:rPr>
          <w:sz w:val="22"/>
          <w:szCs w:val="22"/>
        </w:rPr>
        <w:t xml:space="preserve">, </w:t>
      </w:r>
      <w:r w:rsidR="00D444CA" w:rsidRPr="00C962AD">
        <w:rPr>
          <w:sz w:val="22"/>
          <w:szCs w:val="22"/>
        </w:rPr>
        <w:t xml:space="preserve">organizations </w:t>
      </w:r>
      <w:r w:rsidRPr="00C962AD">
        <w:rPr>
          <w:sz w:val="22"/>
          <w:szCs w:val="22"/>
        </w:rPr>
        <w:t xml:space="preserve">can </w:t>
      </w:r>
      <w:r w:rsidR="00F83FB1" w:rsidRPr="00C962AD">
        <w:rPr>
          <w:sz w:val="22"/>
          <w:szCs w:val="22"/>
        </w:rPr>
        <w:t>increase the use of their available data assets</w:t>
      </w:r>
      <w:r w:rsidR="00CE1E8A" w:rsidRPr="00C962AD">
        <w:rPr>
          <w:sz w:val="22"/>
          <w:szCs w:val="22"/>
        </w:rPr>
        <w:t xml:space="preserve"> and</w:t>
      </w:r>
      <w:r w:rsidRPr="00C962AD">
        <w:rPr>
          <w:sz w:val="22"/>
          <w:szCs w:val="22"/>
        </w:rPr>
        <w:t xml:space="preserve"> thereby </w:t>
      </w:r>
      <w:r w:rsidR="00CE1E8A" w:rsidRPr="00C962AD">
        <w:rPr>
          <w:sz w:val="22"/>
          <w:szCs w:val="22"/>
        </w:rPr>
        <w:t xml:space="preserve">maximize </w:t>
      </w:r>
      <w:r w:rsidRPr="00C962AD">
        <w:rPr>
          <w:sz w:val="22"/>
          <w:szCs w:val="22"/>
        </w:rPr>
        <w:t>the value they realize from their data investments.</w:t>
      </w:r>
    </w:p>
    <w:p w14:paraId="7D89399C" w14:textId="77777777" w:rsidR="004C2FB3" w:rsidRPr="00C962AD" w:rsidRDefault="00000000" w:rsidP="00C962AD">
      <w:pPr>
        <w:rPr>
          <w:sz w:val="22"/>
          <w:szCs w:val="22"/>
        </w:rPr>
      </w:pPr>
      <w:r w:rsidRPr="00C962AD">
        <w:rPr>
          <w:sz w:val="22"/>
          <w:szCs w:val="22"/>
        </w:rPr>
        <w:t>Establishing Widespread Data Access</w:t>
      </w:r>
    </w:p>
    <w:p w14:paraId="1474186D" w14:textId="77E77843" w:rsidR="004C2FB3" w:rsidRPr="00C962AD" w:rsidRDefault="00000000" w:rsidP="00C962AD">
      <w:pPr>
        <w:rPr>
          <w:sz w:val="22"/>
          <w:szCs w:val="22"/>
        </w:rPr>
      </w:pPr>
      <w:r w:rsidRPr="00C962AD">
        <w:rPr>
          <w:sz w:val="22"/>
          <w:szCs w:val="22"/>
        </w:rPr>
        <w:lastRenderedPageBreak/>
        <w:t xml:space="preserve">The first barrier to data asset use is a lack of practical access. Without it, data assets are merely sunk costs. Yet many employees today face significant friction in finding, permissioning, provisioning, preparing, and integrating data </w:t>
      </w:r>
      <w:r w:rsidR="00667331" w:rsidRPr="00C962AD">
        <w:rPr>
          <w:sz w:val="22"/>
          <w:szCs w:val="22"/>
        </w:rPr>
        <w:t>before they can</w:t>
      </w:r>
      <w:r w:rsidR="004C63A0" w:rsidRPr="00C962AD">
        <w:rPr>
          <w:sz w:val="22"/>
          <w:szCs w:val="22"/>
        </w:rPr>
        <w:t xml:space="preserve"> </w:t>
      </w:r>
      <w:r w:rsidR="00D444CA" w:rsidRPr="00C962AD">
        <w:rPr>
          <w:sz w:val="22"/>
          <w:szCs w:val="22"/>
        </w:rPr>
        <w:t>use it</w:t>
      </w:r>
      <w:r w:rsidRPr="00C962AD">
        <w:rPr>
          <w:sz w:val="22"/>
          <w:szCs w:val="22"/>
        </w:rPr>
        <w:t>.</w:t>
      </w:r>
      <w:r w:rsidR="009208D6" w:rsidRPr="00C962AD">
        <w:rPr>
          <w:sz w:val="22"/>
          <w:szCs w:val="22"/>
        </w:rPr>
        <w:t xml:space="preserve"> This friction results in more employee time spent wrangling data (61</w:t>
      </w:r>
      <w:r w:rsidR="00D444CA" w:rsidRPr="00C962AD">
        <w:rPr>
          <w:sz w:val="22"/>
          <w:szCs w:val="22"/>
        </w:rPr>
        <w:t xml:space="preserve"> percent</w:t>
      </w:r>
      <w:r w:rsidR="009208D6" w:rsidRPr="00C962AD">
        <w:rPr>
          <w:sz w:val="22"/>
          <w:szCs w:val="22"/>
        </w:rPr>
        <w:t>) than gleaning insights from it (39</w:t>
      </w:r>
      <w:r w:rsidR="00D444CA" w:rsidRPr="00C962AD">
        <w:rPr>
          <w:sz w:val="22"/>
          <w:szCs w:val="22"/>
        </w:rPr>
        <w:t xml:space="preserve"> percent).</w:t>
      </w:r>
    </w:p>
    <w:p w14:paraId="44D9BFBA" w14:textId="1E829386" w:rsidR="004C2FB3" w:rsidRPr="00C962AD" w:rsidRDefault="00A32F03" w:rsidP="00C962AD">
      <w:pPr>
        <w:rPr>
          <w:sz w:val="22"/>
          <w:szCs w:val="22"/>
        </w:rPr>
      </w:pPr>
      <w:r w:rsidRPr="00C962AD">
        <w:rPr>
          <w:sz w:val="22"/>
          <w:szCs w:val="22"/>
        </w:rPr>
        <w:t xml:space="preserve">Two types of </w:t>
      </w:r>
      <w:r w:rsidR="00F83FB1" w:rsidRPr="00C962AD">
        <w:rPr>
          <w:sz w:val="22"/>
          <w:szCs w:val="22"/>
        </w:rPr>
        <w:t>practices</w:t>
      </w:r>
      <w:r w:rsidR="00767587" w:rsidRPr="00C962AD">
        <w:rPr>
          <w:sz w:val="22"/>
          <w:szCs w:val="22"/>
        </w:rPr>
        <w:t xml:space="preserve"> </w:t>
      </w:r>
      <w:r w:rsidR="009E581D" w:rsidRPr="00C962AD">
        <w:rPr>
          <w:sz w:val="22"/>
          <w:szCs w:val="22"/>
        </w:rPr>
        <w:t>enable</w:t>
      </w:r>
      <w:r w:rsidRPr="00C962AD">
        <w:rPr>
          <w:sz w:val="22"/>
          <w:szCs w:val="22"/>
        </w:rPr>
        <w:t xml:space="preserve"> data access: </w:t>
      </w:r>
      <w:r w:rsidR="009E581D" w:rsidRPr="00C962AD">
        <w:rPr>
          <w:sz w:val="22"/>
          <w:szCs w:val="22"/>
        </w:rPr>
        <w:t xml:space="preserve">data management </w:t>
      </w:r>
      <w:r w:rsidRPr="00C962AD">
        <w:rPr>
          <w:sz w:val="22"/>
          <w:szCs w:val="22"/>
        </w:rPr>
        <w:t xml:space="preserve">practices </w:t>
      </w:r>
      <w:r w:rsidR="00767587" w:rsidRPr="00C962AD">
        <w:rPr>
          <w:sz w:val="22"/>
          <w:szCs w:val="22"/>
        </w:rPr>
        <w:t>that</w:t>
      </w:r>
      <w:r w:rsidRPr="00C962AD">
        <w:rPr>
          <w:sz w:val="22"/>
          <w:szCs w:val="22"/>
        </w:rPr>
        <w:t xml:space="preserve"> </w:t>
      </w:r>
      <w:r w:rsidR="00667331" w:rsidRPr="00C962AD">
        <w:rPr>
          <w:sz w:val="22"/>
          <w:szCs w:val="22"/>
        </w:rPr>
        <w:t xml:space="preserve">transform </w:t>
      </w:r>
      <w:r w:rsidRPr="00C962AD">
        <w:rPr>
          <w:sz w:val="22"/>
          <w:szCs w:val="22"/>
        </w:rPr>
        <w:t xml:space="preserve">raw data into </w:t>
      </w:r>
      <w:r w:rsidR="00D159A0" w:rsidRPr="00C962AD">
        <w:rPr>
          <w:sz w:val="22"/>
          <w:szCs w:val="22"/>
        </w:rPr>
        <w:t>accurate, combinable, and relevant</w:t>
      </w:r>
      <w:r w:rsidR="00667331" w:rsidRPr="00C962AD">
        <w:rPr>
          <w:sz w:val="22"/>
          <w:szCs w:val="22"/>
        </w:rPr>
        <w:t xml:space="preserve"> </w:t>
      </w:r>
      <w:r w:rsidRPr="00C962AD">
        <w:rPr>
          <w:sz w:val="22"/>
          <w:szCs w:val="22"/>
        </w:rPr>
        <w:t>assets</w:t>
      </w:r>
      <w:r w:rsidR="00D159A0" w:rsidRPr="00C962AD">
        <w:rPr>
          <w:sz w:val="22"/>
          <w:szCs w:val="22"/>
        </w:rPr>
        <w:t>,</w:t>
      </w:r>
      <w:r w:rsidRPr="00C962AD">
        <w:rPr>
          <w:sz w:val="22"/>
          <w:szCs w:val="22"/>
        </w:rPr>
        <w:t xml:space="preserve"> </w:t>
      </w:r>
      <w:r w:rsidR="00667331" w:rsidRPr="00C962AD">
        <w:rPr>
          <w:sz w:val="22"/>
          <w:szCs w:val="22"/>
        </w:rPr>
        <w:t>and</w:t>
      </w:r>
      <w:r w:rsidR="001E2EC7" w:rsidRPr="00C962AD">
        <w:rPr>
          <w:sz w:val="22"/>
          <w:szCs w:val="22"/>
        </w:rPr>
        <w:t xml:space="preserve"> </w:t>
      </w:r>
      <w:r w:rsidR="006A1BF0" w:rsidRPr="00C962AD">
        <w:rPr>
          <w:sz w:val="22"/>
          <w:szCs w:val="22"/>
        </w:rPr>
        <w:t xml:space="preserve">other </w:t>
      </w:r>
      <w:r w:rsidR="00D159A0" w:rsidRPr="00C962AD">
        <w:rPr>
          <w:sz w:val="22"/>
          <w:szCs w:val="22"/>
        </w:rPr>
        <w:t xml:space="preserve">practices that </w:t>
      </w:r>
      <w:r w:rsidR="00C24E9A" w:rsidRPr="00C962AD">
        <w:rPr>
          <w:sz w:val="22"/>
          <w:szCs w:val="22"/>
        </w:rPr>
        <w:t>offer th</w:t>
      </w:r>
      <w:r w:rsidR="00D159A0" w:rsidRPr="00C962AD">
        <w:rPr>
          <w:sz w:val="22"/>
          <w:szCs w:val="22"/>
        </w:rPr>
        <w:t xml:space="preserve">ose assets </w:t>
      </w:r>
      <w:r w:rsidR="00667331" w:rsidRPr="00C962AD">
        <w:rPr>
          <w:sz w:val="22"/>
          <w:szCs w:val="22"/>
        </w:rPr>
        <w:t xml:space="preserve">securely to employees via </w:t>
      </w:r>
      <w:r w:rsidRPr="00C962AD">
        <w:rPr>
          <w:sz w:val="22"/>
          <w:szCs w:val="22"/>
        </w:rPr>
        <w:t xml:space="preserve">a modern data platform. Our research shows that two </w:t>
      </w:r>
      <w:r w:rsidR="00DB32C1" w:rsidRPr="00C962AD">
        <w:rPr>
          <w:sz w:val="22"/>
          <w:szCs w:val="22"/>
        </w:rPr>
        <w:t xml:space="preserve">connecting structures </w:t>
      </w:r>
      <w:r w:rsidRPr="00C962AD">
        <w:rPr>
          <w:sz w:val="22"/>
          <w:szCs w:val="22"/>
        </w:rPr>
        <w:t xml:space="preserve">are particularly effective at </w:t>
      </w:r>
      <w:r w:rsidR="00D159A0" w:rsidRPr="00C962AD">
        <w:rPr>
          <w:sz w:val="22"/>
          <w:szCs w:val="22"/>
        </w:rPr>
        <w:t xml:space="preserve">enabling </w:t>
      </w:r>
      <w:r w:rsidR="001E2EC7" w:rsidRPr="00C962AD">
        <w:rPr>
          <w:sz w:val="22"/>
          <w:szCs w:val="22"/>
        </w:rPr>
        <w:t>the</w:t>
      </w:r>
      <w:r w:rsidR="00767587" w:rsidRPr="00C962AD">
        <w:rPr>
          <w:sz w:val="22"/>
          <w:szCs w:val="22"/>
        </w:rPr>
        <w:t>se</w:t>
      </w:r>
      <w:r w:rsidR="001E2EC7" w:rsidRPr="00C962AD">
        <w:rPr>
          <w:sz w:val="22"/>
          <w:szCs w:val="22"/>
        </w:rPr>
        <w:t xml:space="preserve"> practices</w:t>
      </w:r>
      <w:r w:rsidRPr="00C962AD">
        <w:rPr>
          <w:sz w:val="22"/>
          <w:szCs w:val="22"/>
        </w:rPr>
        <w:t xml:space="preserve">: enterprise services and </w:t>
      </w:r>
      <w:r w:rsidR="001E2EC7" w:rsidRPr="00C962AD">
        <w:rPr>
          <w:sz w:val="22"/>
          <w:szCs w:val="22"/>
        </w:rPr>
        <w:t xml:space="preserve">social </w:t>
      </w:r>
      <w:r w:rsidRPr="00C962AD">
        <w:rPr>
          <w:sz w:val="22"/>
          <w:szCs w:val="22"/>
        </w:rPr>
        <w:t xml:space="preserve">networks. Enterprise services </w:t>
      </w:r>
      <w:r w:rsidR="004A226E" w:rsidRPr="00C962AD">
        <w:rPr>
          <w:sz w:val="22"/>
          <w:szCs w:val="22"/>
        </w:rPr>
        <w:t xml:space="preserve">reduce access friction by </w:t>
      </w:r>
      <w:r w:rsidR="00D07D39" w:rsidRPr="00C962AD">
        <w:rPr>
          <w:sz w:val="22"/>
          <w:szCs w:val="22"/>
        </w:rPr>
        <w:t xml:space="preserve">giving </w:t>
      </w:r>
      <w:r w:rsidR="004A226E" w:rsidRPr="00C962AD">
        <w:rPr>
          <w:sz w:val="22"/>
          <w:szCs w:val="22"/>
        </w:rPr>
        <w:t xml:space="preserve">employees </w:t>
      </w:r>
      <w:r w:rsidRPr="00C962AD">
        <w:rPr>
          <w:sz w:val="22"/>
          <w:szCs w:val="22"/>
        </w:rPr>
        <w:t>centrally</w:t>
      </w:r>
      <w:r w:rsidR="004A226E" w:rsidRPr="00C962AD">
        <w:rPr>
          <w:sz w:val="22"/>
          <w:szCs w:val="22"/>
        </w:rPr>
        <w:t xml:space="preserve"> </w:t>
      </w:r>
      <w:r w:rsidRPr="00C962AD">
        <w:rPr>
          <w:sz w:val="22"/>
          <w:szCs w:val="22"/>
        </w:rPr>
        <w:t>managed</w:t>
      </w:r>
      <w:r w:rsidR="004A226E" w:rsidRPr="00C962AD">
        <w:rPr>
          <w:sz w:val="22"/>
          <w:szCs w:val="22"/>
        </w:rPr>
        <w:t>, scaled access</w:t>
      </w:r>
      <w:r w:rsidRPr="00C962AD">
        <w:rPr>
          <w:sz w:val="22"/>
          <w:szCs w:val="22"/>
        </w:rPr>
        <w:t xml:space="preserve"> </w:t>
      </w:r>
      <w:r w:rsidR="004A226E" w:rsidRPr="00C962AD">
        <w:rPr>
          <w:sz w:val="22"/>
          <w:szCs w:val="22"/>
        </w:rPr>
        <w:t>to data assets</w:t>
      </w:r>
      <w:r w:rsidRPr="00C962AD">
        <w:rPr>
          <w:sz w:val="22"/>
          <w:szCs w:val="22"/>
        </w:rPr>
        <w:t xml:space="preserve">, while </w:t>
      </w:r>
      <w:r w:rsidR="009208D6" w:rsidRPr="00C962AD">
        <w:rPr>
          <w:sz w:val="22"/>
          <w:szCs w:val="22"/>
        </w:rPr>
        <w:t>social</w:t>
      </w:r>
      <w:r w:rsidR="001E2EC7" w:rsidRPr="00C962AD">
        <w:rPr>
          <w:sz w:val="22"/>
          <w:szCs w:val="22"/>
        </w:rPr>
        <w:t xml:space="preserve"> </w:t>
      </w:r>
      <w:r w:rsidRPr="00C962AD">
        <w:rPr>
          <w:sz w:val="22"/>
          <w:szCs w:val="22"/>
        </w:rPr>
        <w:t>networks (</w:t>
      </w:r>
      <w:r w:rsidR="00EF4452" w:rsidRPr="00C962AD">
        <w:rPr>
          <w:sz w:val="22"/>
          <w:szCs w:val="22"/>
        </w:rPr>
        <w:t>such as</w:t>
      </w:r>
      <w:r w:rsidR="001E2EC7" w:rsidRPr="00C962AD">
        <w:rPr>
          <w:sz w:val="22"/>
          <w:szCs w:val="22"/>
        </w:rPr>
        <w:t xml:space="preserve"> </w:t>
      </w:r>
      <w:r w:rsidRPr="00C962AD">
        <w:rPr>
          <w:sz w:val="22"/>
          <w:szCs w:val="22"/>
        </w:rPr>
        <w:t xml:space="preserve">communities of practice) facilitate the peer-to-peer knowledge sharing that helps employees </w:t>
      </w:r>
      <w:r w:rsidR="009208D6" w:rsidRPr="00C962AD">
        <w:rPr>
          <w:sz w:val="22"/>
          <w:szCs w:val="22"/>
        </w:rPr>
        <w:t xml:space="preserve">understand </w:t>
      </w:r>
      <w:r w:rsidR="001E2EC7" w:rsidRPr="00C962AD">
        <w:rPr>
          <w:sz w:val="22"/>
          <w:szCs w:val="22"/>
        </w:rPr>
        <w:t xml:space="preserve">available data assets and how to </w:t>
      </w:r>
      <w:r w:rsidR="009208D6" w:rsidRPr="00C962AD">
        <w:rPr>
          <w:sz w:val="22"/>
          <w:szCs w:val="22"/>
        </w:rPr>
        <w:t>use them</w:t>
      </w:r>
      <w:r w:rsidRPr="00C962AD">
        <w:rPr>
          <w:sz w:val="22"/>
          <w:szCs w:val="22"/>
        </w:rPr>
        <w:t>.</w:t>
      </w:r>
    </w:p>
    <w:p w14:paraId="709D09E6" w14:textId="60806C1C" w:rsidR="004C2FB3" w:rsidRPr="00C962AD" w:rsidRDefault="00000000" w:rsidP="00C962AD">
      <w:pPr>
        <w:rPr>
          <w:sz w:val="22"/>
          <w:szCs w:val="22"/>
        </w:rPr>
      </w:pPr>
      <w:r w:rsidRPr="00C962AD">
        <w:rPr>
          <w:sz w:val="22"/>
          <w:szCs w:val="22"/>
        </w:rPr>
        <w:t>For example, global construction company Cemex invest</w:t>
      </w:r>
      <w:r w:rsidR="004A226E" w:rsidRPr="00C962AD">
        <w:rPr>
          <w:sz w:val="22"/>
          <w:szCs w:val="22"/>
        </w:rPr>
        <w:t>ed</w:t>
      </w:r>
      <w:r w:rsidRPr="00C962AD">
        <w:rPr>
          <w:sz w:val="22"/>
          <w:szCs w:val="22"/>
        </w:rPr>
        <w:t xml:space="preserve"> in a cloud-based data lake </w:t>
      </w:r>
      <w:r w:rsidR="00D07D39" w:rsidRPr="00C962AD">
        <w:rPr>
          <w:sz w:val="22"/>
          <w:szCs w:val="22"/>
        </w:rPr>
        <w:t xml:space="preserve">divided </w:t>
      </w:r>
      <w:r w:rsidRPr="00C962AD">
        <w:rPr>
          <w:sz w:val="22"/>
          <w:szCs w:val="22"/>
        </w:rPr>
        <w:t>into hubs for key business areas</w:t>
      </w:r>
      <w:r w:rsidR="00EF4452" w:rsidRPr="00C962AD">
        <w:rPr>
          <w:sz w:val="22"/>
          <w:szCs w:val="22"/>
        </w:rPr>
        <w:t xml:space="preserve">, </w:t>
      </w:r>
      <w:r w:rsidRPr="00C962AD">
        <w:rPr>
          <w:sz w:val="22"/>
          <w:szCs w:val="22"/>
        </w:rPr>
        <w:t xml:space="preserve">such as </w:t>
      </w:r>
      <w:r w:rsidR="001E2EC7" w:rsidRPr="00C962AD">
        <w:rPr>
          <w:sz w:val="22"/>
          <w:szCs w:val="22"/>
        </w:rPr>
        <w:t>sales, s</w:t>
      </w:r>
      <w:r w:rsidRPr="00C962AD">
        <w:rPr>
          <w:sz w:val="22"/>
          <w:szCs w:val="22"/>
        </w:rPr>
        <w:t xml:space="preserve">upply </w:t>
      </w:r>
      <w:r w:rsidR="001E2EC7" w:rsidRPr="00C962AD">
        <w:rPr>
          <w:sz w:val="22"/>
          <w:szCs w:val="22"/>
        </w:rPr>
        <w:t>chain</w:t>
      </w:r>
      <w:r w:rsidR="00767587" w:rsidRPr="00C962AD">
        <w:rPr>
          <w:sz w:val="22"/>
          <w:szCs w:val="22"/>
        </w:rPr>
        <w:t>,</w:t>
      </w:r>
      <w:r w:rsidR="001E2EC7" w:rsidRPr="00C962AD">
        <w:rPr>
          <w:sz w:val="22"/>
          <w:szCs w:val="22"/>
        </w:rPr>
        <w:t xml:space="preserve"> and finance</w:t>
      </w:r>
      <w:r w:rsidRPr="00C962AD">
        <w:rPr>
          <w:sz w:val="22"/>
          <w:szCs w:val="22"/>
        </w:rPr>
        <w:t xml:space="preserve">. </w:t>
      </w:r>
      <w:r w:rsidR="00C24E9A" w:rsidRPr="00C962AD">
        <w:rPr>
          <w:sz w:val="22"/>
          <w:szCs w:val="22"/>
        </w:rPr>
        <w:t>T</w:t>
      </w:r>
      <w:r w:rsidR="00EB3767" w:rsidRPr="00C962AD">
        <w:rPr>
          <w:sz w:val="22"/>
          <w:szCs w:val="22"/>
        </w:rPr>
        <w:t>he project began with t</w:t>
      </w:r>
      <w:r w:rsidR="00C24E9A" w:rsidRPr="00C962AD">
        <w:rPr>
          <w:sz w:val="22"/>
          <w:szCs w:val="22"/>
        </w:rPr>
        <w:t xml:space="preserve">eams from Cemex’s </w:t>
      </w:r>
      <w:r w:rsidRPr="00C962AD">
        <w:rPr>
          <w:sz w:val="22"/>
          <w:szCs w:val="22"/>
        </w:rPr>
        <w:t xml:space="preserve">IT function </w:t>
      </w:r>
      <w:r w:rsidR="00C24E9A" w:rsidRPr="00C962AD">
        <w:rPr>
          <w:sz w:val="22"/>
          <w:szCs w:val="22"/>
        </w:rPr>
        <w:t xml:space="preserve">and </w:t>
      </w:r>
      <w:r w:rsidR="001E2EC7" w:rsidRPr="00C962AD">
        <w:rPr>
          <w:sz w:val="22"/>
          <w:szCs w:val="22"/>
        </w:rPr>
        <w:t xml:space="preserve">the </w:t>
      </w:r>
      <w:r w:rsidRPr="00C962AD">
        <w:rPr>
          <w:sz w:val="22"/>
          <w:szCs w:val="22"/>
        </w:rPr>
        <w:t xml:space="preserve">corresponding business areas </w:t>
      </w:r>
      <w:r w:rsidR="00C24E9A" w:rsidRPr="00C962AD">
        <w:rPr>
          <w:sz w:val="22"/>
          <w:szCs w:val="22"/>
        </w:rPr>
        <w:t>collaborat</w:t>
      </w:r>
      <w:r w:rsidR="00EB3767" w:rsidRPr="00C962AD">
        <w:rPr>
          <w:sz w:val="22"/>
          <w:szCs w:val="22"/>
        </w:rPr>
        <w:t>ing</w:t>
      </w:r>
      <w:r w:rsidR="00C24E9A" w:rsidRPr="00C962AD">
        <w:rPr>
          <w:sz w:val="22"/>
          <w:szCs w:val="22"/>
        </w:rPr>
        <w:t xml:space="preserve"> </w:t>
      </w:r>
      <w:r w:rsidRPr="00C962AD">
        <w:rPr>
          <w:sz w:val="22"/>
          <w:szCs w:val="22"/>
        </w:rPr>
        <w:t xml:space="preserve">to </w:t>
      </w:r>
      <w:r w:rsidR="00D07D39" w:rsidRPr="00C962AD">
        <w:rPr>
          <w:sz w:val="22"/>
          <w:szCs w:val="22"/>
        </w:rPr>
        <w:t>curate</w:t>
      </w:r>
      <w:r w:rsidRPr="00C962AD">
        <w:rPr>
          <w:sz w:val="22"/>
          <w:szCs w:val="22"/>
        </w:rPr>
        <w:t xml:space="preserve"> data from core systems. Next, </w:t>
      </w:r>
      <w:r w:rsidR="009208D6" w:rsidRPr="00C962AD">
        <w:rPr>
          <w:sz w:val="22"/>
          <w:szCs w:val="22"/>
        </w:rPr>
        <w:t xml:space="preserve">those </w:t>
      </w:r>
      <w:r w:rsidRPr="00C962AD">
        <w:rPr>
          <w:sz w:val="22"/>
          <w:szCs w:val="22"/>
        </w:rPr>
        <w:t>teams built out a data catalog that captured metadata about reusable assets, such as their meaning, location, and popularity. The IT function then created an enterprise portal—the Cemex Data Hub—</w:t>
      </w:r>
      <w:r w:rsidR="00C24E9A" w:rsidRPr="00C962AD">
        <w:rPr>
          <w:sz w:val="22"/>
          <w:szCs w:val="22"/>
        </w:rPr>
        <w:t xml:space="preserve">that </w:t>
      </w:r>
      <w:r w:rsidR="00D07D39" w:rsidRPr="00C962AD">
        <w:rPr>
          <w:sz w:val="22"/>
          <w:szCs w:val="22"/>
        </w:rPr>
        <w:t>allowed</w:t>
      </w:r>
      <w:r w:rsidRPr="00C962AD">
        <w:rPr>
          <w:sz w:val="22"/>
          <w:szCs w:val="22"/>
        </w:rPr>
        <w:t xml:space="preserve"> any authorized employee </w:t>
      </w:r>
      <w:r w:rsidR="00D07D39" w:rsidRPr="00C962AD">
        <w:rPr>
          <w:sz w:val="22"/>
          <w:szCs w:val="22"/>
        </w:rPr>
        <w:t xml:space="preserve">to </w:t>
      </w:r>
      <w:r w:rsidRPr="00C962AD">
        <w:rPr>
          <w:sz w:val="22"/>
          <w:szCs w:val="22"/>
        </w:rPr>
        <w:t xml:space="preserve">access </w:t>
      </w:r>
      <w:r w:rsidR="0059389E" w:rsidRPr="00C962AD">
        <w:rPr>
          <w:sz w:val="22"/>
          <w:szCs w:val="22"/>
        </w:rPr>
        <w:t xml:space="preserve">data through </w:t>
      </w:r>
      <w:r w:rsidRPr="00C962AD">
        <w:rPr>
          <w:sz w:val="22"/>
          <w:szCs w:val="22"/>
        </w:rPr>
        <w:t>a</w:t>
      </w:r>
      <w:r w:rsidR="001E2EC7" w:rsidRPr="00C962AD">
        <w:rPr>
          <w:sz w:val="22"/>
          <w:szCs w:val="22"/>
        </w:rPr>
        <w:t>n established</w:t>
      </w:r>
      <w:r w:rsidRPr="00C962AD">
        <w:rPr>
          <w:sz w:val="22"/>
          <w:szCs w:val="22"/>
        </w:rPr>
        <w:t xml:space="preserve"> </w:t>
      </w:r>
      <w:r w:rsidR="001E2EC7" w:rsidRPr="00C962AD">
        <w:rPr>
          <w:sz w:val="22"/>
          <w:szCs w:val="22"/>
        </w:rPr>
        <w:t xml:space="preserve">data </w:t>
      </w:r>
      <w:r w:rsidRPr="00C962AD">
        <w:rPr>
          <w:sz w:val="22"/>
          <w:szCs w:val="22"/>
        </w:rPr>
        <w:t xml:space="preserve">view, a business intelligence tool, </w:t>
      </w:r>
      <w:r w:rsidR="0059389E" w:rsidRPr="00C962AD">
        <w:rPr>
          <w:sz w:val="22"/>
          <w:szCs w:val="22"/>
        </w:rPr>
        <w:t>or an API</w:t>
      </w:r>
      <w:r w:rsidRPr="00C962AD">
        <w:rPr>
          <w:sz w:val="22"/>
          <w:szCs w:val="22"/>
        </w:rPr>
        <w:t xml:space="preserve">. </w:t>
      </w:r>
      <w:r w:rsidR="00EB3767" w:rsidRPr="00C962AD">
        <w:rPr>
          <w:sz w:val="22"/>
          <w:szCs w:val="22"/>
        </w:rPr>
        <w:t xml:space="preserve">IT teams </w:t>
      </w:r>
      <w:r w:rsidR="0059389E" w:rsidRPr="00C962AD">
        <w:rPr>
          <w:sz w:val="22"/>
          <w:szCs w:val="22"/>
        </w:rPr>
        <w:t>also</w:t>
      </w:r>
      <w:r w:rsidRPr="00C962AD">
        <w:rPr>
          <w:sz w:val="22"/>
          <w:szCs w:val="22"/>
        </w:rPr>
        <w:t xml:space="preserve"> developed temporary online experimentation spaces </w:t>
      </w:r>
      <w:r w:rsidR="00EB3767" w:rsidRPr="00C962AD">
        <w:rPr>
          <w:sz w:val="22"/>
          <w:szCs w:val="22"/>
        </w:rPr>
        <w:t xml:space="preserve">they </w:t>
      </w:r>
      <w:r w:rsidRPr="00C962AD">
        <w:rPr>
          <w:sz w:val="22"/>
          <w:szCs w:val="22"/>
        </w:rPr>
        <w:t>called data labs that equipped employees with access to data, cloud-based storage, tools, training, methodologies, and advi</w:t>
      </w:r>
      <w:r w:rsidR="001E2EC7" w:rsidRPr="00C962AD">
        <w:rPr>
          <w:sz w:val="22"/>
          <w:szCs w:val="22"/>
        </w:rPr>
        <w:t>ce</w:t>
      </w:r>
      <w:r w:rsidRPr="00C962AD">
        <w:rPr>
          <w:sz w:val="22"/>
          <w:szCs w:val="22"/>
        </w:rPr>
        <w:t>. By 2024, more than 9,000 users across a variety of business areas at Cemex accessed data assets in forty-five distinct domains.</w:t>
      </w:r>
    </w:p>
    <w:p w14:paraId="5391B9C2" w14:textId="77777777" w:rsidR="004C2FB3" w:rsidRPr="00C962AD" w:rsidRDefault="00000000" w:rsidP="00C962AD">
      <w:pPr>
        <w:rPr>
          <w:sz w:val="22"/>
          <w:szCs w:val="22"/>
        </w:rPr>
      </w:pPr>
      <w:r w:rsidRPr="00C962AD">
        <w:rPr>
          <w:sz w:val="22"/>
          <w:szCs w:val="22"/>
        </w:rPr>
        <w:t>Developing Essential Data Skills</w:t>
      </w:r>
    </w:p>
    <w:p w14:paraId="18903566" w14:textId="54559AEA" w:rsidR="004C2FB3" w:rsidRPr="00C962AD" w:rsidRDefault="00000000" w:rsidP="00C962AD">
      <w:pPr>
        <w:rPr>
          <w:sz w:val="22"/>
          <w:szCs w:val="22"/>
        </w:rPr>
      </w:pPr>
      <w:r w:rsidRPr="00C962AD">
        <w:rPr>
          <w:sz w:val="22"/>
          <w:szCs w:val="22"/>
        </w:rPr>
        <w:t>While access is necessary, it is not sufficient</w:t>
      </w:r>
      <w:r w:rsidR="00AD29BE" w:rsidRPr="00C962AD">
        <w:rPr>
          <w:sz w:val="22"/>
          <w:szCs w:val="22"/>
        </w:rPr>
        <w:t xml:space="preserve"> to guarantee data asset use</w:t>
      </w:r>
      <w:r w:rsidRPr="00C962AD">
        <w:rPr>
          <w:sz w:val="22"/>
          <w:szCs w:val="22"/>
        </w:rPr>
        <w:t>. A data democracy requires a workforce that possesses the skills to work with data effectively. Skills</w:t>
      </w:r>
      <w:r w:rsidR="00D07D39" w:rsidRPr="00C962AD">
        <w:rPr>
          <w:sz w:val="22"/>
          <w:szCs w:val="22"/>
        </w:rPr>
        <w:t>-enhancing</w:t>
      </w:r>
      <w:r w:rsidRPr="00C962AD">
        <w:rPr>
          <w:sz w:val="22"/>
          <w:szCs w:val="22"/>
        </w:rPr>
        <w:t xml:space="preserve"> practices </w:t>
      </w:r>
      <w:r w:rsidR="001E2EC7" w:rsidRPr="00C962AD">
        <w:rPr>
          <w:sz w:val="22"/>
          <w:szCs w:val="22"/>
        </w:rPr>
        <w:t xml:space="preserve">include </w:t>
      </w:r>
      <w:r w:rsidRPr="00C962AD">
        <w:rPr>
          <w:sz w:val="22"/>
          <w:szCs w:val="22"/>
        </w:rPr>
        <w:t xml:space="preserve">the programs an organization uses to upskill its employees, ensuring </w:t>
      </w:r>
      <w:r w:rsidR="00774BDB" w:rsidRPr="00C962AD">
        <w:rPr>
          <w:sz w:val="22"/>
          <w:szCs w:val="22"/>
        </w:rPr>
        <w:t xml:space="preserve">employees </w:t>
      </w:r>
      <w:r w:rsidR="00C34642" w:rsidRPr="00C962AD">
        <w:rPr>
          <w:sz w:val="22"/>
          <w:szCs w:val="22"/>
        </w:rPr>
        <w:t>can</w:t>
      </w:r>
      <w:r w:rsidRPr="00C962AD">
        <w:rPr>
          <w:sz w:val="22"/>
          <w:szCs w:val="22"/>
        </w:rPr>
        <w:t xml:space="preserve"> </w:t>
      </w:r>
      <w:r w:rsidR="00D75E23" w:rsidRPr="00C962AD">
        <w:rPr>
          <w:sz w:val="22"/>
          <w:szCs w:val="22"/>
        </w:rPr>
        <w:t>solve problems</w:t>
      </w:r>
      <w:r w:rsidR="00C34642" w:rsidRPr="00C962AD">
        <w:rPr>
          <w:sz w:val="22"/>
          <w:szCs w:val="22"/>
        </w:rPr>
        <w:t xml:space="preserve"> using </w:t>
      </w:r>
      <w:r w:rsidR="00C54FA0" w:rsidRPr="00C962AD">
        <w:rPr>
          <w:sz w:val="22"/>
          <w:szCs w:val="22"/>
        </w:rPr>
        <w:t>data assets</w:t>
      </w:r>
      <w:r w:rsidRPr="00C962AD">
        <w:rPr>
          <w:sz w:val="22"/>
          <w:szCs w:val="22"/>
        </w:rPr>
        <w:t>.</w:t>
      </w:r>
    </w:p>
    <w:p w14:paraId="6F5D4F70" w14:textId="21D20D27" w:rsidR="004C2FB3" w:rsidRPr="00C962AD" w:rsidRDefault="00000000" w:rsidP="00C962AD">
      <w:pPr>
        <w:rPr>
          <w:sz w:val="22"/>
          <w:szCs w:val="22"/>
        </w:rPr>
      </w:pPr>
      <w:r w:rsidRPr="00C962AD">
        <w:rPr>
          <w:sz w:val="22"/>
          <w:szCs w:val="22"/>
        </w:rPr>
        <w:t xml:space="preserve">Large-scale data literacy training is a common starting point, but </w:t>
      </w:r>
      <w:r w:rsidR="0059389E" w:rsidRPr="00C962AD">
        <w:rPr>
          <w:sz w:val="22"/>
          <w:szCs w:val="22"/>
        </w:rPr>
        <w:t xml:space="preserve">direct application is </w:t>
      </w:r>
      <w:r w:rsidR="00D75E23" w:rsidRPr="00C962AD">
        <w:rPr>
          <w:sz w:val="22"/>
          <w:szCs w:val="22"/>
        </w:rPr>
        <w:t>the</w:t>
      </w:r>
      <w:r w:rsidRPr="00C962AD">
        <w:rPr>
          <w:sz w:val="22"/>
          <w:szCs w:val="22"/>
        </w:rPr>
        <w:t xml:space="preserve"> most effective way to build practical, context-specific skills</w:t>
      </w:r>
      <w:r w:rsidR="00D75E23" w:rsidRPr="00C962AD">
        <w:rPr>
          <w:sz w:val="22"/>
          <w:szCs w:val="22"/>
        </w:rPr>
        <w:t>. C</w:t>
      </w:r>
      <w:r w:rsidRPr="00C962AD">
        <w:rPr>
          <w:sz w:val="22"/>
          <w:szCs w:val="22"/>
        </w:rPr>
        <w:t xml:space="preserve">ross-functional teams are a critical </w:t>
      </w:r>
      <w:r w:rsidR="00DB32C1" w:rsidRPr="00C962AD">
        <w:rPr>
          <w:sz w:val="22"/>
          <w:szCs w:val="22"/>
        </w:rPr>
        <w:t>connecting structure</w:t>
      </w:r>
      <w:r w:rsidR="001E2EC7" w:rsidRPr="00C962AD">
        <w:rPr>
          <w:sz w:val="22"/>
          <w:szCs w:val="22"/>
        </w:rPr>
        <w:t xml:space="preserve"> for </w:t>
      </w:r>
      <w:r w:rsidR="00D75E23" w:rsidRPr="00C962AD">
        <w:rPr>
          <w:sz w:val="22"/>
          <w:szCs w:val="22"/>
        </w:rPr>
        <w:t>learning</w:t>
      </w:r>
      <w:r w:rsidR="00C24E9A" w:rsidRPr="00C962AD">
        <w:rPr>
          <w:sz w:val="22"/>
          <w:szCs w:val="22"/>
        </w:rPr>
        <w:t xml:space="preserve"> </w:t>
      </w:r>
      <w:r w:rsidR="00D75E23" w:rsidRPr="00C962AD">
        <w:rPr>
          <w:sz w:val="22"/>
          <w:szCs w:val="22"/>
        </w:rPr>
        <w:t>by</w:t>
      </w:r>
      <w:r w:rsidR="00C24E9A" w:rsidRPr="00C962AD">
        <w:rPr>
          <w:sz w:val="22"/>
          <w:szCs w:val="22"/>
        </w:rPr>
        <w:t xml:space="preserve"> </w:t>
      </w:r>
      <w:r w:rsidR="00D75E23" w:rsidRPr="00C962AD">
        <w:rPr>
          <w:sz w:val="22"/>
          <w:szCs w:val="22"/>
        </w:rPr>
        <w:t xml:space="preserve">doing. On </w:t>
      </w:r>
      <w:r w:rsidR="0059389E" w:rsidRPr="00C962AD">
        <w:rPr>
          <w:sz w:val="22"/>
          <w:szCs w:val="22"/>
        </w:rPr>
        <w:t>such</w:t>
      </w:r>
      <w:r w:rsidR="00D75E23" w:rsidRPr="00C962AD">
        <w:rPr>
          <w:sz w:val="22"/>
          <w:szCs w:val="22"/>
        </w:rPr>
        <w:t xml:space="preserve"> teams, business domain experts learn contemporary data techniques, while </w:t>
      </w:r>
      <w:r w:rsidR="00D75E23" w:rsidRPr="00C962AD">
        <w:rPr>
          <w:sz w:val="22"/>
          <w:szCs w:val="22"/>
        </w:rPr>
        <w:lastRenderedPageBreak/>
        <w:t>data experts gain a deeper understanding of the business context</w:t>
      </w:r>
      <w:r w:rsidR="0059389E" w:rsidRPr="00C962AD">
        <w:rPr>
          <w:sz w:val="22"/>
          <w:szCs w:val="22"/>
        </w:rPr>
        <w:t>. This improves the quality of the solutions they develop together.</w:t>
      </w:r>
    </w:p>
    <w:p w14:paraId="1C1D2D2C" w14:textId="2C3E532E" w:rsidR="00C34642" w:rsidRPr="00C962AD" w:rsidRDefault="00C34642" w:rsidP="00C962AD">
      <w:pPr>
        <w:rPr>
          <w:sz w:val="22"/>
          <w:szCs w:val="22"/>
        </w:rPr>
      </w:pPr>
      <w:r w:rsidRPr="00C962AD">
        <w:rPr>
          <w:sz w:val="22"/>
          <w:szCs w:val="22"/>
        </w:rPr>
        <w:t xml:space="preserve">At Microsoft, leaders assembled a multidisciplinary team for a pilot project to investigate space utilization at a single headquarters building. </w:t>
      </w:r>
      <w:r w:rsidR="0059389E" w:rsidRPr="00C962AD">
        <w:rPr>
          <w:sz w:val="22"/>
          <w:szCs w:val="22"/>
        </w:rPr>
        <w:t xml:space="preserve">The project team grew from representatives of Enterprise Data Science </w:t>
      </w:r>
      <w:r w:rsidR="00EB3767" w:rsidRPr="00C962AD">
        <w:rPr>
          <w:sz w:val="22"/>
          <w:szCs w:val="22"/>
        </w:rPr>
        <w:t xml:space="preserve">and the </w:t>
      </w:r>
      <w:r w:rsidR="0059389E" w:rsidRPr="00C962AD">
        <w:rPr>
          <w:sz w:val="22"/>
          <w:szCs w:val="22"/>
        </w:rPr>
        <w:t xml:space="preserve">Real Estate and Facilities </w:t>
      </w:r>
      <w:r w:rsidR="00EB3767" w:rsidRPr="00C962AD">
        <w:rPr>
          <w:sz w:val="22"/>
          <w:szCs w:val="22"/>
        </w:rPr>
        <w:t xml:space="preserve">units </w:t>
      </w:r>
      <w:r w:rsidR="0059389E" w:rsidRPr="00C962AD">
        <w:rPr>
          <w:sz w:val="22"/>
          <w:szCs w:val="22"/>
        </w:rPr>
        <w:t xml:space="preserve">to include members of </w:t>
      </w:r>
      <w:r w:rsidR="008D364A" w:rsidRPr="00C962AD">
        <w:rPr>
          <w:sz w:val="22"/>
          <w:szCs w:val="22"/>
        </w:rPr>
        <w:t>Security, Human Resources, IT</w:t>
      </w:r>
      <w:r w:rsidR="001C385F" w:rsidRPr="00C962AD">
        <w:rPr>
          <w:sz w:val="22"/>
          <w:szCs w:val="22"/>
        </w:rPr>
        <w:t>, and other business units</w:t>
      </w:r>
      <w:r w:rsidR="008D364A" w:rsidRPr="00C962AD">
        <w:rPr>
          <w:sz w:val="22"/>
          <w:szCs w:val="22"/>
        </w:rPr>
        <w:t xml:space="preserve"> </w:t>
      </w:r>
      <w:r w:rsidRPr="00C962AD">
        <w:rPr>
          <w:sz w:val="22"/>
          <w:szCs w:val="22"/>
        </w:rPr>
        <w:t xml:space="preserve">that owned data </w:t>
      </w:r>
      <w:r w:rsidR="001C385F" w:rsidRPr="00C962AD">
        <w:rPr>
          <w:sz w:val="22"/>
          <w:szCs w:val="22"/>
        </w:rPr>
        <w:t xml:space="preserve">or other expertise </w:t>
      </w:r>
      <w:r w:rsidR="006C3EF1" w:rsidRPr="00C962AD">
        <w:rPr>
          <w:sz w:val="22"/>
          <w:szCs w:val="22"/>
        </w:rPr>
        <w:t xml:space="preserve">that was </w:t>
      </w:r>
      <w:r w:rsidR="00EF4452" w:rsidRPr="00C962AD">
        <w:rPr>
          <w:sz w:val="22"/>
          <w:szCs w:val="22"/>
        </w:rPr>
        <w:t>required for the effort, like</w:t>
      </w:r>
      <w:r w:rsidR="001C385F" w:rsidRPr="00C962AD">
        <w:rPr>
          <w:sz w:val="22"/>
          <w:szCs w:val="22"/>
        </w:rPr>
        <w:t xml:space="preserve"> legal</w:t>
      </w:r>
      <w:r w:rsidR="00EF4452" w:rsidRPr="00C962AD">
        <w:rPr>
          <w:sz w:val="22"/>
          <w:szCs w:val="22"/>
        </w:rPr>
        <w:t xml:space="preserve"> and</w:t>
      </w:r>
      <w:r w:rsidR="001C385F" w:rsidRPr="00C962AD">
        <w:rPr>
          <w:sz w:val="22"/>
          <w:szCs w:val="22"/>
        </w:rPr>
        <w:t xml:space="preserve"> privacy</w:t>
      </w:r>
      <w:r w:rsidRPr="00C962AD">
        <w:rPr>
          <w:sz w:val="22"/>
          <w:szCs w:val="22"/>
        </w:rPr>
        <w:t>.</w:t>
      </w:r>
      <w:r w:rsidR="00EA4AB8" w:rsidRPr="00C962AD">
        <w:rPr>
          <w:sz w:val="22"/>
          <w:szCs w:val="22"/>
        </w:rPr>
        <w:t xml:space="preserve"> </w:t>
      </w:r>
      <w:r w:rsidR="0059389E" w:rsidRPr="00C962AD">
        <w:rPr>
          <w:sz w:val="22"/>
          <w:szCs w:val="22"/>
        </w:rPr>
        <w:t xml:space="preserve">As the team integrated more data assets and became savvier at developing data-based solutions, novel applications emerged. Ultimately, this single team inspired </w:t>
      </w:r>
      <w:r w:rsidR="00754E6E" w:rsidRPr="00C962AD">
        <w:rPr>
          <w:sz w:val="22"/>
          <w:szCs w:val="22"/>
        </w:rPr>
        <w:t>applications that ranged from building optimization and dynamic HVAC management to campus security and parking garage optimization.</w:t>
      </w:r>
    </w:p>
    <w:p w14:paraId="20AC209A" w14:textId="77777777" w:rsidR="004C2FB3" w:rsidRPr="00C962AD" w:rsidRDefault="00000000" w:rsidP="00C962AD">
      <w:pPr>
        <w:rPr>
          <w:sz w:val="22"/>
          <w:szCs w:val="22"/>
        </w:rPr>
      </w:pPr>
      <w:r w:rsidRPr="00C962AD">
        <w:rPr>
          <w:sz w:val="22"/>
          <w:szCs w:val="22"/>
        </w:rPr>
        <w:t>Cultivating User Motivation</w:t>
      </w:r>
    </w:p>
    <w:p w14:paraId="066B6F98" w14:textId="669265B6" w:rsidR="004C2FB3" w:rsidRPr="00C962AD" w:rsidRDefault="00000000" w:rsidP="00C962AD">
      <w:pPr>
        <w:rPr>
          <w:sz w:val="22"/>
          <w:szCs w:val="22"/>
        </w:rPr>
      </w:pPr>
      <w:r w:rsidRPr="00C962AD">
        <w:rPr>
          <w:sz w:val="22"/>
          <w:szCs w:val="22"/>
        </w:rPr>
        <w:t xml:space="preserve">Even with access and skills, employees may not </w:t>
      </w:r>
      <w:r w:rsidR="00031687" w:rsidRPr="00C962AD">
        <w:rPr>
          <w:sz w:val="22"/>
          <w:szCs w:val="22"/>
        </w:rPr>
        <w:t>want</w:t>
      </w:r>
      <w:r w:rsidRPr="00C962AD">
        <w:rPr>
          <w:sz w:val="22"/>
          <w:szCs w:val="22"/>
        </w:rPr>
        <w:t xml:space="preserve"> to engage with data. They may not see how data use helps them achieve their immediate work goals or </w:t>
      </w:r>
      <w:r w:rsidR="001E2EC7" w:rsidRPr="00C962AD">
        <w:rPr>
          <w:sz w:val="22"/>
          <w:szCs w:val="22"/>
        </w:rPr>
        <w:t xml:space="preserve">believe they will be </w:t>
      </w:r>
      <w:r w:rsidRPr="00C962AD">
        <w:rPr>
          <w:sz w:val="22"/>
          <w:szCs w:val="22"/>
        </w:rPr>
        <w:t xml:space="preserve">rewarded for </w:t>
      </w:r>
      <w:r w:rsidR="0059389E" w:rsidRPr="00C962AD">
        <w:rPr>
          <w:sz w:val="22"/>
          <w:szCs w:val="22"/>
        </w:rPr>
        <w:t>its</w:t>
      </w:r>
      <w:r w:rsidR="00C54FA0" w:rsidRPr="00C962AD">
        <w:rPr>
          <w:sz w:val="22"/>
          <w:szCs w:val="22"/>
        </w:rPr>
        <w:t xml:space="preserve"> use</w:t>
      </w:r>
      <w:r w:rsidRPr="00C962AD">
        <w:rPr>
          <w:sz w:val="22"/>
          <w:szCs w:val="22"/>
        </w:rPr>
        <w:t>. Motivation</w:t>
      </w:r>
      <w:r w:rsidR="002704A7" w:rsidRPr="00C962AD">
        <w:rPr>
          <w:sz w:val="22"/>
          <w:szCs w:val="22"/>
        </w:rPr>
        <w:t>-promoting</w:t>
      </w:r>
      <w:r w:rsidRPr="00C962AD">
        <w:rPr>
          <w:sz w:val="22"/>
          <w:szCs w:val="22"/>
        </w:rPr>
        <w:t xml:space="preserve"> practices are formal and informal mechanisms</w:t>
      </w:r>
      <w:r w:rsidR="00BF1B6B" w:rsidRPr="00C962AD">
        <w:rPr>
          <w:sz w:val="22"/>
          <w:szCs w:val="22"/>
        </w:rPr>
        <w:t>—</w:t>
      </w:r>
      <w:r w:rsidR="00031687" w:rsidRPr="00C962AD">
        <w:rPr>
          <w:sz w:val="22"/>
          <w:szCs w:val="22"/>
        </w:rPr>
        <w:t xml:space="preserve">such as </w:t>
      </w:r>
      <w:r w:rsidRPr="00C962AD">
        <w:rPr>
          <w:sz w:val="22"/>
          <w:szCs w:val="22"/>
        </w:rPr>
        <w:t>monitoring</w:t>
      </w:r>
      <w:r w:rsidR="001E2EC7" w:rsidRPr="00C962AD">
        <w:rPr>
          <w:sz w:val="22"/>
          <w:szCs w:val="22"/>
        </w:rPr>
        <w:t xml:space="preserve"> use</w:t>
      </w:r>
      <w:r w:rsidRPr="00C962AD">
        <w:rPr>
          <w:sz w:val="22"/>
          <w:szCs w:val="22"/>
        </w:rPr>
        <w:t xml:space="preserve">, </w:t>
      </w:r>
      <w:r w:rsidR="001E2EC7" w:rsidRPr="00C962AD">
        <w:rPr>
          <w:sz w:val="22"/>
          <w:szCs w:val="22"/>
        </w:rPr>
        <w:t xml:space="preserve">offering </w:t>
      </w:r>
      <w:r w:rsidRPr="00C962AD">
        <w:rPr>
          <w:sz w:val="22"/>
          <w:szCs w:val="22"/>
        </w:rPr>
        <w:t xml:space="preserve">incentives, and </w:t>
      </w:r>
      <w:r w:rsidR="003476AF" w:rsidRPr="00C962AD">
        <w:rPr>
          <w:sz w:val="22"/>
          <w:szCs w:val="22"/>
        </w:rPr>
        <w:t xml:space="preserve">signaling by </w:t>
      </w:r>
      <w:r w:rsidRPr="00C962AD">
        <w:rPr>
          <w:sz w:val="22"/>
          <w:szCs w:val="22"/>
        </w:rPr>
        <w:t>leadership</w:t>
      </w:r>
      <w:r w:rsidR="00BF1B6B" w:rsidRPr="00C962AD">
        <w:rPr>
          <w:sz w:val="22"/>
          <w:szCs w:val="22"/>
        </w:rPr>
        <w:t>—</w:t>
      </w:r>
      <w:r w:rsidR="00031687" w:rsidRPr="00C962AD">
        <w:rPr>
          <w:sz w:val="22"/>
          <w:szCs w:val="22"/>
        </w:rPr>
        <w:t>that encourage data asset engagement.</w:t>
      </w:r>
    </w:p>
    <w:p w14:paraId="62A4BDCF" w14:textId="34C995B2" w:rsidR="004C2FB3" w:rsidRPr="00C962AD" w:rsidRDefault="00031687" w:rsidP="00C962AD">
      <w:pPr>
        <w:rPr>
          <w:sz w:val="22"/>
          <w:szCs w:val="22"/>
        </w:rPr>
      </w:pPr>
      <w:r w:rsidRPr="00C962AD">
        <w:rPr>
          <w:sz w:val="22"/>
          <w:szCs w:val="22"/>
        </w:rPr>
        <w:t xml:space="preserve">An effective </w:t>
      </w:r>
      <w:r w:rsidR="00DB32C1" w:rsidRPr="00C962AD">
        <w:rPr>
          <w:sz w:val="22"/>
          <w:szCs w:val="22"/>
        </w:rPr>
        <w:t>connecting structure</w:t>
      </w:r>
      <w:r w:rsidRPr="00C962AD">
        <w:rPr>
          <w:sz w:val="22"/>
          <w:szCs w:val="22"/>
        </w:rPr>
        <w:t xml:space="preserve"> for fostering motivation is the use of embedded experts. </w:t>
      </w:r>
      <w:r w:rsidR="00DA559D" w:rsidRPr="00C962AD">
        <w:rPr>
          <w:sz w:val="22"/>
          <w:szCs w:val="22"/>
        </w:rPr>
        <w:t xml:space="preserve">An embedded data specialist does more than collaborate on </w:t>
      </w:r>
      <w:r w:rsidR="00FA1493" w:rsidRPr="00C962AD">
        <w:rPr>
          <w:sz w:val="22"/>
          <w:szCs w:val="22"/>
        </w:rPr>
        <w:t>data initiatives</w:t>
      </w:r>
      <w:r w:rsidR="00DA559D" w:rsidRPr="00C962AD">
        <w:rPr>
          <w:sz w:val="22"/>
          <w:szCs w:val="22"/>
        </w:rPr>
        <w:t>; they actively coach and mentor colleagues</w:t>
      </w:r>
      <w:r w:rsidRPr="00C962AD">
        <w:rPr>
          <w:sz w:val="22"/>
          <w:szCs w:val="22"/>
        </w:rPr>
        <w:t xml:space="preserve">. This close relationship </w:t>
      </w:r>
      <w:r w:rsidR="00FA1493" w:rsidRPr="00C962AD">
        <w:rPr>
          <w:sz w:val="22"/>
          <w:szCs w:val="22"/>
        </w:rPr>
        <w:t xml:space="preserve">demystifies data and </w:t>
      </w:r>
      <w:r w:rsidRPr="00C962AD">
        <w:rPr>
          <w:sz w:val="22"/>
          <w:szCs w:val="22"/>
        </w:rPr>
        <w:t xml:space="preserve">motivates </w:t>
      </w:r>
      <w:r w:rsidR="00BF1B6B" w:rsidRPr="00C962AD">
        <w:rPr>
          <w:sz w:val="22"/>
          <w:szCs w:val="22"/>
        </w:rPr>
        <w:t xml:space="preserve">employees’ </w:t>
      </w:r>
      <w:r w:rsidR="00C54FA0" w:rsidRPr="00C962AD">
        <w:rPr>
          <w:sz w:val="22"/>
          <w:szCs w:val="22"/>
        </w:rPr>
        <w:t xml:space="preserve">use </w:t>
      </w:r>
      <w:r w:rsidR="00BF1B6B" w:rsidRPr="00C962AD">
        <w:rPr>
          <w:sz w:val="22"/>
          <w:szCs w:val="22"/>
        </w:rPr>
        <w:t xml:space="preserve">of it </w:t>
      </w:r>
      <w:r w:rsidRPr="00C962AD">
        <w:rPr>
          <w:sz w:val="22"/>
          <w:szCs w:val="22"/>
        </w:rPr>
        <w:t xml:space="preserve">by making data expertise both accessible and relevant to a unit’s specific goals. BBVA, for instance, </w:t>
      </w:r>
      <w:r w:rsidR="00C54FA0" w:rsidRPr="00C962AD">
        <w:rPr>
          <w:sz w:val="22"/>
          <w:szCs w:val="22"/>
        </w:rPr>
        <w:t>trained</w:t>
      </w:r>
      <w:r w:rsidRPr="00C962AD">
        <w:rPr>
          <w:sz w:val="22"/>
          <w:szCs w:val="22"/>
        </w:rPr>
        <w:t xml:space="preserve"> </w:t>
      </w:r>
      <w:r w:rsidR="00C54FA0" w:rsidRPr="00C962AD">
        <w:rPr>
          <w:sz w:val="22"/>
          <w:szCs w:val="22"/>
        </w:rPr>
        <w:t xml:space="preserve">select </w:t>
      </w:r>
      <w:r w:rsidRPr="00C962AD">
        <w:rPr>
          <w:sz w:val="22"/>
          <w:szCs w:val="22"/>
        </w:rPr>
        <w:t xml:space="preserve">employees in contemporary data science techniques. After completing the program, these employees returned to their business units to become embedded experts, </w:t>
      </w:r>
      <w:r w:rsidR="00C54FA0" w:rsidRPr="00C962AD">
        <w:rPr>
          <w:sz w:val="22"/>
          <w:szCs w:val="22"/>
        </w:rPr>
        <w:t>supporting</w:t>
      </w:r>
      <w:r w:rsidRPr="00C962AD">
        <w:rPr>
          <w:sz w:val="22"/>
          <w:szCs w:val="22"/>
        </w:rPr>
        <w:t xml:space="preserve"> their colleagues and championing data-driven </w:t>
      </w:r>
      <w:r w:rsidR="00A421ED" w:rsidRPr="00C962AD">
        <w:rPr>
          <w:sz w:val="22"/>
          <w:szCs w:val="22"/>
        </w:rPr>
        <w:t>problem solving</w:t>
      </w:r>
      <w:r w:rsidRPr="00C962AD">
        <w:rPr>
          <w:sz w:val="22"/>
          <w:szCs w:val="22"/>
        </w:rPr>
        <w:t>.</w:t>
      </w:r>
    </w:p>
    <w:p w14:paraId="651292C0" w14:textId="52B2AF79" w:rsidR="004C2FB3" w:rsidRPr="00C962AD" w:rsidRDefault="00000000" w:rsidP="00C962AD">
      <w:pPr>
        <w:rPr>
          <w:sz w:val="22"/>
          <w:szCs w:val="22"/>
        </w:rPr>
      </w:pPr>
      <w:r w:rsidRPr="00C962AD">
        <w:rPr>
          <w:sz w:val="22"/>
          <w:szCs w:val="22"/>
        </w:rPr>
        <w:t xml:space="preserve">Motivation is also driven from the top. When leaders visibly champion data use and reward its application, they send a clear signal that </w:t>
      </w:r>
      <w:r w:rsidR="001E4C12" w:rsidRPr="00C962AD">
        <w:rPr>
          <w:sz w:val="22"/>
          <w:szCs w:val="22"/>
        </w:rPr>
        <w:t>it</w:t>
      </w:r>
      <w:r w:rsidR="00A421ED" w:rsidRPr="00C962AD">
        <w:rPr>
          <w:sz w:val="22"/>
          <w:szCs w:val="22"/>
        </w:rPr>
        <w:t xml:space="preserve"> </w:t>
      </w:r>
      <w:r w:rsidRPr="00C962AD">
        <w:rPr>
          <w:sz w:val="22"/>
          <w:szCs w:val="22"/>
        </w:rPr>
        <w:t>is a valued activity.</w:t>
      </w:r>
    </w:p>
    <w:p w14:paraId="1494C6D0" w14:textId="2A6FD17F" w:rsidR="004C2FB3" w:rsidRPr="00C962AD" w:rsidRDefault="00000000" w:rsidP="00C962AD">
      <w:pPr>
        <w:rPr>
          <w:sz w:val="22"/>
          <w:szCs w:val="22"/>
        </w:rPr>
      </w:pPr>
      <w:r w:rsidRPr="00C962AD">
        <w:rPr>
          <w:sz w:val="22"/>
          <w:szCs w:val="22"/>
        </w:rPr>
        <w:t xml:space="preserve">Providing Strategic </w:t>
      </w:r>
      <w:r w:rsidR="001648F6" w:rsidRPr="00C962AD">
        <w:rPr>
          <w:sz w:val="22"/>
          <w:szCs w:val="22"/>
        </w:rPr>
        <w:t>Guidance</w:t>
      </w:r>
    </w:p>
    <w:p w14:paraId="2A9BE518" w14:textId="6C895DBB" w:rsidR="004C2FB3" w:rsidRPr="00C962AD" w:rsidRDefault="00000000" w:rsidP="00C962AD">
      <w:pPr>
        <w:rPr>
          <w:sz w:val="22"/>
          <w:szCs w:val="22"/>
        </w:rPr>
      </w:pPr>
      <w:r w:rsidRPr="00C962AD">
        <w:rPr>
          <w:sz w:val="22"/>
          <w:szCs w:val="22"/>
        </w:rPr>
        <w:t>Finally, data use must align with enterprise strategy</w:t>
      </w:r>
      <w:r w:rsidR="001E4C12" w:rsidRPr="00C962AD">
        <w:rPr>
          <w:sz w:val="22"/>
          <w:szCs w:val="22"/>
        </w:rPr>
        <w:t xml:space="preserve"> to generate maximum value</w:t>
      </w:r>
      <w:r w:rsidRPr="00C962AD">
        <w:rPr>
          <w:sz w:val="22"/>
          <w:szCs w:val="22"/>
        </w:rPr>
        <w:t xml:space="preserve">. Leaders must </w:t>
      </w:r>
      <w:r w:rsidR="000C1C17" w:rsidRPr="00C962AD">
        <w:rPr>
          <w:sz w:val="22"/>
          <w:szCs w:val="22"/>
        </w:rPr>
        <w:t xml:space="preserve">guide </w:t>
      </w:r>
      <w:r w:rsidRPr="00C962AD">
        <w:rPr>
          <w:sz w:val="22"/>
          <w:szCs w:val="22"/>
        </w:rPr>
        <w:t>employees to use data assets in ways that help the organization achieve its most important goals</w:t>
      </w:r>
      <w:r w:rsidR="00A421ED" w:rsidRPr="00C962AD">
        <w:rPr>
          <w:sz w:val="22"/>
          <w:szCs w:val="22"/>
        </w:rPr>
        <w:t>. O</w:t>
      </w:r>
      <w:r w:rsidRPr="00C962AD">
        <w:rPr>
          <w:sz w:val="22"/>
          <w:szCs w:val="22"/>
        </w:rPr>
        <w:t xml:space="preserve">ur research shows </w:t>
      </w:r>
      <w:r w:rsidR="00653827" w:rsidRPr="00C962AD">
        <w:rPr>
          <w:sz w:val="22"/>
          <w:szCs w:val="22"/>
        </w:rPr>
        <w:t xml:space="preserve">the financial impact of this leadership focus: organizations </w:t>
      </w:r>
      <w:r w:rsidR="00C75B44" w:rsidRPr="00C962AD">
        <w:rPr>
          <w:sz w:val="22"/>
          <w:szCs w:val="22"/>
        </w:rPr>
        <w:t>that provide</w:t>
      </w:r>
      <w:r w:rsidR="001E4C12" w:rsidRPr="00C962AD">
        <w:rPr>
          <w:sz w:val="22"/>
          <w:szCs w:val="22"/>
        </w:rPr>
        <w:t xml:space="preserve"> clear strategic guidance</w:t>
      </w:r>
      <w:r w:rsidR="00653827" w:rsidRPr="00C962AD">
        <w:rPr>
          <w:sz w:val="22"/>
          <w:szCs w:val="22"/>
        </w:rPr>
        <w:t xml:space="preserve"> generate</w:t>
      </w:r>
      <w:r w:rsidRPr="00C962AD">
        <w:rPr>
          <w:sz w:val="22"/>
          <w:szCs w:val="22"/>
        </w:rPr>
        <w:t xml:space="preserve"> more than four times the share of revenue from data monetization</w:t>
      </w:r>
      <w:r w:rsidR="00EF4452" w:rsidRPr="00C962AD">
        <w:rPr>
          <w:sz w:val="22"/>
          <w:szCs w:val="22"/>
        </w:rPr>
        <w:t xml:space="preserve"> than those that do not</w:t>
      </w:r>
      <w:r w:rsidRPr="00C962AD">
        <w:rPr>
          <w:sz w:val="22"/>
          <w:szCs w:val="22"/>
        </w:rPr>
        <w:t>—17</w:t>
      </w:r>
      <w:r w:rsidR="00AC2F60" w:rsidRPr="00C962AD">
        <w:rPr>
          <w:sz w:val="22"/>
          <w:szCs w:val="22"/>
        </w:rPr>
        <w:t xml:space="preserve"> percent</w:t>
      </w:r>
      <w:r w:rsidRPr="00C962AD">
        <w:rPr>
          <w:sz w:val="22"/>
          <w:szCs w:val="22"/>
        </w:rPr>
        <w:t xml:space="preserve"> versus 4</w:t>
      </w:r>
      <w:r w:rsidR="00AC2F60" w:rsidRPr="00C962AD">
        <w:rPr>
          <w:sz w:val="22"/>
          <w:szCs w:val="22"/>
        </w:rPr>
        <w:t xml:space="preserve"> percent</w:t>
      </w:r>
      <w:r w:rsidRPr="00C962AD">
        <w:rPr>
          <w:sz w:val="22"/>
          <w:szCs w:val="22"/>
        </w:rPr>
        <w:t xml:space="preserve">. </w:t>
      </w:r>
      <w:r w:rsidR="00C75B44" w:rsidRPr="00C962AD">
        <w:rPr>
          <w:sz w:val="22"/>
          <w:szCs w:val="22"/>
        </w:rPr>
        <w:t>They</w:t>
      </w:r>
      <w:r w:rsidRPr="00C962AD">
        <w:rPr>
          <w:sz w:val="22"/>
          <w:szCs w:val="22"/>
        </w:rPr>
        <w:t xml:space="preserve"> are </w:t>
      </w:r>
      <w:r w:rsidR="001E4C12" w:rsidRPr="00C962AD">
        <w:rPr>
          <w:sz w:val="22"/>
          <w:szCs w:val="22"/>
        </w:rPr>
        <w:t xml:space="preserve">also </w:t>
      </w:r>
      <w:r w:rsidRPr="00C962AD">
        <w:rPr>
          <w:sz w:val="22"/>
          <w:szCs w:val="22"/>
        </w:rPr>
        <w:t>over two</w:t>
      </w:r>
      <w:r w:rsidR="00AC2F60" w:rsidRPr="00C962AD">
        <w:rPr>
          <w:sz w:val="22"/>
          <w:szCs w:val="22"/>
        </w:rPr>
        <w:t>-</w:t>
      </w:r>
      <w:r w:rsidRPr="00C962AD">
        <w:rPr>
          <w:sz w:val="22"/>
          <w:szCs w:val="22"/>
        </w:rPr>
        <w:t>and</w:t>
      </w:r>
      <w:r w:rsidR="00AC2F60" w:rsidRPr="00C962AD">
        <w:rPr>
          <w:sz w:val="22"/>
          <w:szCs w:val="22"/>
        </w:rPr>
        <w:t>-</w:t>
      </w:r>
      <w:r w:rsidRPr="00C962AD">
        <w:rPr>
          <w:sz w:val="22"/>
          <w:szCs w:val="22"/>
        </w:rPr>
        <w:t>a</w:t>
      </w:r>
      <w:r w:rsidR="00AC2F60" w:rsidRPr="00C962AD">
        <w:rPr>
          <w:sz w:val="22"/>
          <w:szCs w:val="22"/>
        </w:rPr>
        <w:t>-</w:t>
      </w:r>
      <w:r w:rsidRPr="00C962AD">
        <w:rPr>
          <w:sz w:val="22"/>
          <w:szCs w:val="22"/>
        </w:rPr>
        <w:t xml:space="preserve">half times more likely to report that their data initiatives </w:t>
      </w:r>
      <w:r w:rsidR="000C1C17" w:rsidRPr="00C962AD">
        <w:rPr>
          <w:sz w:val="22"/>
          <w:szCs w:val="22"/>
        </w:rPr>
        <w:t xml:space="preserve">enhance </w:t>
      </w:r>
      <w:r w:rsidR="00A421ED" w:rsidRPr="00C962AD">
        <w:rPr>
          <w:sz w:val="22"/>
          <w:szCs w:val="22"/>
        </w:rPr>
        <w:t xml:space="preserve">their </w:t>
      </w:r>
      <w:r w:rsidRPr="00C962AD">
        <w:rPr>
          <w:sz w:val="22"/>
          <w:szCs w:val="22"/>
        </w:rPr>
        <w:t>competitive advantage.</w:t>
      </w:r>
    </w:p>
    <w:p w14:paraId="39B080CB" w14:textId="6CDDB6DB" w:rsidR="004C2FB3" w:rsidRPr="00C962AD" w:rsidRDefault="000C1C17" w:rsidP="00C962AD">
      <w:pPr>
        <w:rPr>
          <w:sz w:val="22"/>
          <w:szCs w:val="22"/>
        </w:rPr>
      </w:pPr>
      <w:r w:rsidRPr="00C962AD">
        <w:rPr>
          <w:sz w:val="22"/>
          <w:szCs w:val="22"/>
        </w:rPr>
        <w:lastRenderedPageBreak/>
        <w:t>Organizations begin</w:t>
      </w:r>
      <w:r w:rsidR="00EE37D0" w:rsidRPr="00C962AD">
        <w:rPr>
          <w:sz w:val="22"/>
          <w:szCs w:val="22"/>
        </w:rPr>
        <w:t xml:space="preserve"> by communicating </w:t>
      </w:r>
      <w:r w:rsidRPr="00C962AD">
        <w:rPr>
          <w:sz w:val="22"/>
          <w:szCs w:val="22"/>
        </w:rPr>
        <w:t xml:space="preserve">their strategy </w:t>
      </w:r>
      <w:r w:rsidR="001E4C12" w:rsidRPr="00C962AD">
        <w:rPr>
          <w:sz w:val="22"/>
          <w:szCs w:val="22"/>
        </w:rPr>
        <w:t>to help</w:t>
      </w:r>
      <w:r w:rsidR="00EE37D0" w:rsidRPr="00C962AD">
        <w:rPr>
          <w:sz w:val="22"/>
          <w:szCs w:val="22"/>
        </w:rPr>
        <w:t xml:space="preserve"> employees prioritize their time and attention. </w:t>
      </w:r>
      <w:r w:rsidRPr="00C962AD">
        <w:rPr>
          <w:sz w:val="22"/>
          <w:szCs w:val="22"/>
        </w:rPr>
        <w:t xml:space="preserve">Other </w:t>
      </w:r>
      <w:r w:rsidR="001E4C12" w:rsidRPr="00C962AD">
        <w:rPr>
          <w:sz w:val="22"/>
          <w:szCs w:val="22"/>
        </w:rPr>
        <w:t xml:space="preserve">guidance </w:t>
      </w:r>
      <w:r w:rsidRPr="00C962AD">
        <w:rPr>
          <w:sz w:val="22"/>
          <w:szCs w:val="22"/>
        </w:rPr>
        <w:t xml:space="preserve">practices </w:t>
      </w:r>
      <w:r w:rsidR="00A421ED" w:rsidRPr="00C962AD">
        <w:rPr>
          <w:sz w:val="22"/>
          <w:szCs w:val="22"/>
        </w:rPr>
        <w:t xml:space="preserve">include </w:t>
      </w:r>
      <w:r w:rsidRPr="00C962AD">
        <w:rPr>
          <w:sz w:val="22"/>
          <w:szCs w:val="22"/>
        </w:rPr>
        <w:t>routinely tracing</w:t>
      </w:r>
      <w:r w:rsidR="00A421ED" w:rsidRPr="00C962AD">
        <w:rPr>
          <w:sz w:val="22"/>
          <w:szCs w:val="22"/>
        </w:rPr>
        <w:t xml:space="preserve"> </w:t>
      </w:r>
      <w:r w:rsidR="00EE37D0" w:rsidRPr="00C962AD">
        <w:rPr>
          <w:sz w:val="22"/>
          <w:szCs w:val="22"/>
        </w:rPr>
        <w:t>data benefits to an income statement line item</w:t>
      </w:r>
      <w:r w:rsidR="00AC2F60" w:rsidRPr="00C962AD">
        <w:rPr>
          <w:sz w:val="22"/>
          <w:szCs w:val="22"/>
        </w:rPr>
        <w:t>,</w:t>
      </w:r>
      <w:r w:rsidR="00A421ED" w:rsidRPr="00C962AD">
        <w:rPr>
          <w:sz w:val="22"/>
          <w:szCs w:val="22"/>
        </w:rPr>
        <w:t xml:space="preserve"> </w:t>
      </w:r>
      <w:r w:rsidR="00EE37D0" w:rsidRPr="00C962AD">
        <w:rPr>
          <w:sz w:val="22"/>
          <w:szCs w:val="22"/>
        </w:rPr>
        <w:t xml:space="preserve">and </w:t>
      </w:r>
      <w:r w:rsidRPr="00C962AD">
        <w:rPr>
          <w:sz w:val="22"/>
          <w:szCs w:val="22"/>
        </w:rPr>
        <w:t xml:space="preserve">implementing </w:t>
      </w:r>
      <w:r w:rsidR="00EE37D0" w:rsidRPr="00C962AD">
        <w:rPr>
          <w:sz w:val="22"/>
          <w:szCs w:val="22"/>
        </w:rPr>
        <w:t>data lifecycle measurement</w:t>
      </w:r>
      <w:r w:rsidRPr="00C962AD">
        <w:rPr>
          <w:sz w:val="22"/>
          <w:szCs w:val="22"/>
        </w:rPr>
        <w:t>,</w:t>
      </w:r>
      <w:r w:rsidR="00EE37D0" w:rsidRPr="00C962AD">
        <w:rPr>
          <w:sz w:val="22"/>
          <w:szCs w:val="22"/>
        </w:rPr>
        <w:t xml:space="preserve"> </w:t>
      </w:r>
      <w:r w:rsidRPr="00C962AD">
        <w:rPr>
          <w:sz w:val="22"/>
          <w:szCs w:val="22"/>
        </w:rPr>
        <w:t xml:space="preserve">which </w:t>
      </w:r>
      <w:r w:rsidR="00A421ED" w:rsidRPr="00C962AD">
        <w:rPr>
          <w:sz w:val="22"/>
          <w:szCs w:val="22"/>
        </w:rPr>
        <w:t xml:space="preserve">links </w:t>
      </w:r>
      <w:r w:rsidR="00A421ED" w:rsidRPr="00AC7672">
        <w:rPr>
          <w:sz w:val="22"/>
          <w:szCs w:val="22"/>
        </w:rPr>
        <w:t>the</w:t>
      </w:r>
      <w:r w:rsidR="00A421ED" w:rsidRPr="00C962AD">
        <w:rPr>
          <w:sz w:val="22"/>
          <w:szCs w:val="22"/>
        </w:rPr>
        <w:t xml:space="preserve"> </w:t>
      </w:r>
      <w:r w:rsidR="00EE37D0" w:rsidRPr="00C962AD">
        <w:rPr>
          <w:sz w:val="22"/>
          <w:szCs w:val="22"/>
        </w:rPr>
        <w:t xml:space="preserve">lifecycle </w:t>
      </w:r>
      <w:r w:rsidR="00A421ED" w:rsidRPr="00C962AD">
        <w:rPr>
          <w:sz w:val="22"/>
          <w:szCs w:val="22"/>
        </w:rPr>
        <w:t xml:space="preserve">cost of </w:t>
      </w:r>
      <w:r w:rsidR="00EE37D0" w:rsidRPr="00C962AD">
        <w:rPr>
          <w:sz w:val="22"/>
          <w:szCs w:val="22"/>
        </w:rPr>
        <w:t xml:space="preserve">data asset creation to financial returns. The </w:t>
      </w:r>
      <w:r w:rsidR="00DB32C1" w:rsidRPr="00C962AD">
        <w:rPr>
          <w:sz w:val="22"/>
          <w:szCs w:val="22"/>
        </w:rPr>
        <w:t>connecting structure</w:t>
      </w:r>
      <w:r w:rsidR="00EE37D0" w:rsidRPr="00C962AD">
        <w:rPr>
          <w:sz w:val="22"/>
          <w:szCs w:val="22"/>
        </w:rPr>
        <w:t xml:space="preserve"> that best supports these practices is the Center of Excellence</w:t>
      </w:r>
      <w:r w:rsidR="008C04BA" w:rsidRPr="00C962AD">
        <w:rPr>
          <w:sz w:val="22"/>
          <w:szCs w:val="22"/>
        </w:rPr>
        <w:t xml:space="preserve">, or </w:t>
      </w:r>
      <w:proofErr w:type="spellStart"/>
      <w:r w:rsidR="008C04BA" w:rsidRPr="00C962AD">
        <w:rPr>
          <w:sz w:val="22"/>
          <w:szCs w:val="22"/>
        </w:rPr>
        <w:t>CoE</w:t>
      </w:r>
      <w:proofErr w:type="spellEnd"/>
      <w:r w:rsidR="00EE37D0" w:rsidRPr="00C962AD">
        <w:rPr>
          <w:sz w:val="22"/>
          <w:szCs w:val="22"/>
        </w:rPr>
        <w:t xml:space="preserve">. A </w:t>
      </w:r>
      <w:proofErr w:type="spellStart"/>
      <w:r w:rsidR="00EE37D0" w:rsidRPr="00C962AD">
        <w:rPr>
          <w:sz w:val="22"/>
          <w:szCs w:val="22"/>
        </w:rPr>
        <w:t>CoE</w:t>
      </w:r>
      <w:proofErr w:type="spellEnd"/>
      <w:r w:rsidR="00EE37D0" w:rsidRPr="00C962AD">
        <w:rPr>
          <w:sz w:val="22"/>
          <w:szCs w:val="22"/>
        </w:rPr>
        <w:t xml:space="preserve"> coordinates data knowledge across the organization, setting standards, developing strategy, and ensuring that disparate efforts are moving in the same direction.</w:t>
      </w:r>
      <w:r w:rsidR="001E4C12" w:rsidRPr="00C962AD">
        <w:rPr>
          <w:sz w:val="22"/>
          <w:szCs w:val="22"/>
        </w:rPr>
        <w:t xml:space="preserve"> </w:t>
      </w:r>
    </w:p>
    <w:p w14:paraId="4349B2A1" w14:textId="7D07DD6B" w:rsidR="004C2FB3" w:rsidRPr="00C962AD" w:rsidRDefault="00000000" w:rsidP="00C962AD">
      <w:pPr>
        <w:rPr>
          <w:sz w:val="22"/>
          <w:szCs w:val="22"/>
        </w:rPr>
      </w:pPr>
      <w:r w:rsidRPr="00C962AD">
        <w:rPr>
          <w:sz w:val="22"/>
          <w:szCs w:val="22"/>
        </w:rPr>
        <w:t xml:space="preserve">BBVA established a data science </w:t>
      </w:r>
      <w:proofErr w:type="spellStart"/>
      <w:r w:rsidRPr="00C962AD">
        <w:rPr>
          <w:sz w:val="22"/>
          <w:szCs w:val="22"/>
        </w:rPr>
        <w:t>CoE</w:t>
      </w:r>
      <w:proofErr w:type="spellEnd"/>
      <w:r w:rsidRPr="00C962AD">
        <w:rPr>
          <w:sz w:val="22"/>
          <w:szCs w:val="22"/>
        </w:rPr>
        <w:t xml:space="preserve"> and charged it with a strategic, three-part mission: co-creating high-value solutions with BBVA project teams, establishing new innovative data science capabilities, and leading a data-driven culture change. To ensure </w:t>
      </w:r>
      <w:r w:rsidR="000C1C17" w:rsidRPr="00C962AD">
        <w:rPr>
          <w:sz w:val="22"/>
          <w:szCs w:val="22"/>
        </w:rPr>
        <w:t xml:space="preserve">that new solutions </w:t>
      </w:r>
      <w:r w:rsidRPr="00C962AD">
        <w:rPr>
          <w:sz w:val="22"/>
          <w:szCs w:val="22"/>
        </w:rPr>
        <w:t xml:space="preserve">were aligned with enterprise goals, the </w:t>
      </w:r>
      <w:proofErr w:type="spellStart"/>
      <w:r w:rsidRPr="00C962AD">
        <w:rPr>
          <w:sz w:val="22"/>
          <w:szCs w:val="22"/>
        </w:rPr>
        <w:t>CoE</w:t>
      </w:r>
      <w:proofErr w:type="spellEnd"/>
      <w:r w:rsidRPr="00C962AD">
        <w:rPr>
          <w:sz w:val="22"/>
          <w:szCs w:val="22"/>
        </w:rPr>
        <w:t xml:space="preserve"> developed a value framework</w:t>
      </w:r>
      <w:r w:rsidR="00AC2F60" w:rsidRPr="00C962AD">
        <w:rPr>
          <w:sz w:val="22"/>
          <w:szCs w:val="22"/>
        </w:rPr>
        <w:t xml:space="preserve"> </w:t>
      </w:r>
      <w:r w:rsidRPr="00C962AD">
        <w:rPr>
          <w:sz w:val="22"/>
          <w:szCs w:val="22"/>
        </w:rPr>
        <w:t>to classify</w:t>
      </w:r>
      <w:r w:rsidR="000C1C17" w:rsidRPr="00C962AD">
        <w:rPr>
          <w:sz w:val="22"/>
          <w:szCs w:val="22"/>
        </w:rPr>
        <w:t xml:space="preserve"> </w:t>
      </w:r>
      <w:r w:rsidRPr="00C962AD">
        <w:rPr>
          <w:sz w:val="22"/>
          <w:szCs w:val="22"/>
        </w:rPr>
        <w:t xml:space="preserve">its portfolio of data projects according to their intended economic impact. It also created a Data Engines Catalog to standardize how machine learning applications were communicated across the bank. The </w:t>
      </w:r>
      <w:proofErr w:type="spellStart"/>
      <w:r w:rsidRPr="00C962AD">
        <w:rPr>
          <w:sz w:val="22"/>
          <w:szCs w:val="22"/>
        </w:rPr>
        <w:t>CoE</w:t>
      </w:r>
      <w:r w:rsidR="00AC2F60" w:rsidRPr="00C962AD">
        <w:rPr>
          <w:sz w:val="22"/>
          <w:szCs w:val="22"/>
        </w:rPr>
        <w:t>’</w:t>
      </w:r>
      <w:r w:rsidRPr="00C962AD">
        <w:rPr>
          <w:sz w:val="22"/>
          <w:szCs w:val="22"/>
        </w:rPr>
        <w:t>s</w:t>
      </w:r>
      <w:proofErr w:type="spellEnd"/>
      <w:r w:rsidRPr="00C962AD">
        <w:rPr>
          <w:sz w:val="22"/>
          <w:szCs w:val="22"/>
        </w:rPr>
        <w:t xml:space="preserve"> success in coordinating data strategy was so significant that it ultimately led to the creation of a formal Data Office, reporting directly to the CEO.</w:t>
      </w:r>
    </w:p>
    <w:p w14:paraId="7D569DE1" w14:textId="61BB937A" w:rsidR="004C2FB3" w:rsidRPr="00C962AD" w:rsidRDefault="0081048F" w:rsidP="00C962AD">
      <w:pPr>
        <w:rPr>
          <w:sz w:val="22"/>
          <w:szCs w:val="22"/>
        </w:rPr>
      </w:pPr>
      <w:r w:rsidRPr="00C962AD">
        <w:rPr>
          <w:sz w:val="22"/>
          <w:szCs w:val="22"/>
        </w:rPr>
        <w:t>Crafting a</w:t>
      </w:r>
      <w:r w:rsidR="00A421ED" w:rsidRPr="00C962AD">
        <w:rPr>
          <w:sz w:val="22"/>
          <w:szCs w:val="22"/>
        </w:rPr>
        <w:t>n Action Plan for a Thriving Data Democracy</w:t>
      </w:r>
    </w:p>
    <w:p w14:paraId="7EF3C74E" w14:textId="53263D3B" w:rsidR="004C2FB3" w:rsidRPr="00C962AD" w:rsidRDefault="00000000" w:rsidP="00C962AD">
      <w:pPr>
        <w:rPr>
          <w:sz w:val="22"/>
          <w:szCs w:val="22"/>
        </w:rPr>
      </w:pPr>
      <w:r w:rsidRPr="00C962AD">
        <w:rPr>
          <w:sz w:val="22"/>
          <w:szCs w:val="22"/>
        </w:rPr>
        <w:t xml:space="preserve">In a thriving data democracy, every employee can play a role in realizing value from data. Yet achieving this state requires deliberate, sustained management effort. Leaders cannot simply invest in data assets and expect a </w:t>
      </w:r>
      <w:r w:rsidR="007F6958" w:rsidRPr="00C962AD">
        <w:rPr>
          <w:sz w:val="22"/>
          <w:szCs w:val="22"/>
        </w:rPr>
        <w:t xml:space="preserve">data </w:t>
      </w:r>
      <w:r w:rsidRPr="00C962AD">
        <w:rPr>
          <w:sz w:val="22"/>
          <w:szCs w:val="22"/>
        </w:rPr>
        <w:t>democracy to emerge. They must actively cultivate the practices and build the connections that empower their entire workforce. For leaders ready to act, our research has identified four steps to take:</w:t>
      </w:r>
    </w:p>
    <w:p w14:paraId="6932043A" w14:textId="3AEAE1BA" w:rsidR="004C2FB3" w:rsidRPr="00C962AD" w:rsidRDefault="008C04BA" w:rsidP="00C962AD">
      <w:pPr>
        <w:rPr>
          <w:sz w:val="22"/>
          <w:szCs w:val="22"/>
        </w:rPr>
      </w:pPr>
      <w:r w:rsidRPr="00C962AD">
        <w:rPr>
          <w:sz w:val="22"/>
          <w:szCs w:val="22"/>
        </w:rPr>
        <w:t xml:space="preserve">One, establish a </w:t>
      </w:r>
      <w:r w:rsidR="0081048F" w:rsidRPr="00C962AD">
        <w:rPr>
          <w:sz w:val="22"/>
          <w:szCs w:val="22"/>
        </w:rPr>
        <w:t xml:space="preserve">baseline </w:t>
      </w:r>
      <w:r w:rsidR="00B041AB" w:rsidRPr="00C962AD">
        <w:rPr>
          <w:sz w:val="22"/>
          <w:szCs w:val="22"/>
        </w:rPr>
        <w:t xml:space="preserve">of </w:t>
      </w:r>
      <w:r w:rsidR="0081048F" w:rsidRPr="00C962AD">
        <w:rPr>
          <w:sz w:val="22"/>
          <w:szCs w:val="22"/>
        </w:rPr>
        <w:t xml:space="preserve">data asset use. </w:t>
      </w:r>
      <w:r w:rsidRPr="00C962AD">
        <w:rPr>
          <w:sz w:val="22"/>
          <w:szCs w:val="22"/>
        </w:rPr>
        <w:t xml:space="preserve">Before investing in new initiatives, leaders must first understand the extent of data </w:t>
      </w:r>
      <w:r w:rsidR="00CF5FCC" w:rsidRPr="00C962AD">
        <w:rPr>
          <w:sz w:val="22"/>
          <w:szCs w:val="22"/>
        </w:rPr>
        <w:t xml:space="preserve">asset </w:t>
      </w:r>
      <w:r w:rsidRPr="00C962AD">
        <w:rPr>
          <w:sz w:val="22"/>
          <w:szCs w:val="22"/>
        </w:rPr>
        <w:t xml:space="preserve">use in the business. An honest assessment is the necessary starting point. Leaders should ask: </w:t>
      </w:r>
      <w:r w:rsidR="006B7C4A" w:rsidRPr="00C962AD">
        <w:rPr>
          <w:sz w:val="22"/>
          <w:szCs w:val="22"/>
        </w:rPr>
        <w:t>What percent</w:t>
      </w:r>
      <w:r w:rsidR="00AA3C57" w:rsidRPr="00C962AD">
        <w:rPr>
          <w:sz w:val="22"/>
          <w:szCs w:val="22"/>
        </w:rPr>
        <w:t>age</w:t>
      </w:r>
      <w:r w:rsidR="006B7C4A" w:rsidRPr="00C962AD">
        <w:rPr>
          <w:sz w:val="22"/>
          <w:szCs w:val="22"/>
        </w:rPr>
        <w:t xml:space="preserve"> of our data is available to employees as reusable data assets? </w:t>
      </w:r>
      <w:r w:rsidR="006C3EF1" w:rsidRPr="00C962AD">
        <w:rPr>
          <w:sz w:val="22"/>
          <w:szCs w:val="22"/>
        </w:rPr>
        <w:t xml:space="preserve">And </w:t>
      </w:r>
      <w:r w:rsidR="00384588" w:rsidRPr="00C962AD">
        <w:rPr>
          <w:sz w:val="22"/>
          <w:szCs w:val="22"/>
        </w:rPr>
        <w:t>w</w:t>
      </w:r>
      <w:r w:rsidR="006B7C4A" w:rsidRPr="00C962AD">
        <w:rPr>
          <w:sz w:val="22"/>
          <w:szCs w:val="22"/>
        </w:rPr>
        <w:t>hat percent</w:t>
      </w:r>
      <w:r w:rsidR="00AA3C57" w:rsidRPr="00C962AD">
        <w:rPr>
          <w:sz w:val="22"/>
          <w:szCs w:val="22"/>
        </w:rPr>
        <w:t>age</w:t>
      </w:r>
      <w:r w:rsidR="006B7C4A" w:rsidRPr="00C962AD">
        <w:rPr>
          <w:sz w:val="22"/>
          <w:szCs w:val="22"/>
        </w:rPr>
        <w:t xml:space="preserve"> of employees typically make use of </w:t>
      </w:r>
      <w:r w:rsidR="00AA3C57" w:rsidRPr="00C962AD">
        <w:rPr>
          <w:sz w:val="22"/>
          <w:szCs w:val="22"/>
        </w:rPr>
        <w:t>the</w:t>
      </w:r>
      <w:r w:rsidR="004F6694" w:rsidRPr="00C962AD">
        <w:rPr>
          <w:sz w:val="22"/>
          <w:szCs w:val="22"/>
        </w:rPr>
        <w:t>se</w:t>
      </w:r>
      <w:r w:rsidR="004C4143" w:rsidRPr="00C962AD">
        <w:rPr>
          <w:sz w:val="22"/>
          <w:szCs w:val="22"/>
        </w:rPr>
        <w:t xml:space="preserve"> assets</w:t>
      </w:r>
      <w:r w:rsidR="006B7C4A" w:rsidRPr="00C962AD">
        <w:rPr>
          <w:sz w:val="22"/>
          <w:szCs w:val="22"/>
        </w:rPr>
        <w:t>?</w:t>
      </w:r>
    </w:p>
    <w:p w14:paraId="3ED91FE1" w14:textId="14AFF264" w:rsidR="004C2FB3" w:rsidRPr="00C962AD" w:rsidRDefault="008C04BA" w:rsidP="00C962AD">
      <w:pPr>
        <w:rPr>
          <w:sz w:val="22"/>
          <w:szCs w:val="22"/>
        </w:rPr>
      </w:pPr>
      <w:r w:rsidRPr="00C962AD">
        <w:rPr>
          <w:sz w:val="22"/>
          <w:szCs w:val="22"/>
        </w:rPr>
        <w:t xml:space="preserve">Two, identify </w:t>
      </w:r>
      <w:r w:rsidR="0081048F" w:rsidRPr="00C962AD">
        <w:rPr>
          <w:sz w:val="22"/>
          <w:szCs w:val="22"/>
        </w:rPr>
        <w:t xml:space="preserve">data asset use gaps. </w:t>
      </w:r>
      <w:r w:rsidRPr="00C962AD">
        <w:rPr>
          <w:sz w:val="22"/>
          <w:szCs w:val="22"/>
        </w:rPr>
        <w:t xml:space="preserve">With a baseline established, diagnose the root cause </w:t>
      </w:r>
      <w:r w:rsidR="00BD239D" w:rsidRPr="00C962AD">
        <w:rPr>
          <w:sz w:val="22"/>
          <w:szCs w:val="22"/>
        </w:rPr>
        <w:t xml:space="preserve">of </w:t>
      </w:r>
      <w:r w:rsidRPr="00C962AD">
        <w:rPr>
          <w:sz w:val="22"/>
          <w:szCs w:val="22"/>
        </w:rPr>
        <w:t xml:space="preserve">gaps by examining areas of strength and weakness. </w:t>
      </w:r>
      <w:r w:rsidR="004F6694" w:rsidRPr="00C962AD">
        <w:rPr>
          <w:sz w:val="22"/>
          <w:szCs w:val="22"/>
        </w:rPr>
        <w:t xml:space="preserve">Can employees easily find and use </w:t>
      </w:r>
      <w:r w:rsidRPr="00C962AD">
        <w:rPr>
          <w:sz w:val="22"/>
          <w:szCs w:val="22"/>
        </w:rPr>
        <w:t>data assets</w:t>
      </w:r>
      <w:r w:rsidR="00793E1C" w:rsidRPr="00C962AD">
        <w:rPr>
          <w:sz w:val="22"/>
          <w:szCs w:val="22"/>
        </w:rPr>
        <w:t>—</w:t>
      </w:r>
      <w:r w:rsidR="004F6694" w:rsidRPr="00C962AD">
        <w:rPr>
          <w:sz w:val="22"/>
          <w:szCs w:val="22"/>
        </w:rPr>
        <w:t>do they have a</w:t>
      </w:r>
      <w:r w:rsidRPr="00C962AD">
        <w:rPr>
          <w:sz w:val="22"/>
          <w:szCs w:val="22"/>
        </w:rPr>
        <w:t xml:space="preserve">ccess? Do </w:t>
      </w:r>
      <w:r w:rsidR="004F6694" w:rsidRPr="00C962AD">
        <w:rPr>
          <w:sz w:val="22"/>
          <w:szCs w:val="22"/>
        </w:rPr>
        <w:t xml:space="preserve">they </w:t>
      </w:r>
      <w:r w:rsidRPr="00C962AD">
        <w:rPr>
          <w:sz w:val="22"/>
          <w:szCs w:val="22"/>
        </w:rPr>
        <w:t>feel confident in their ability to solve problems with data</w:t>
      </w:r>
      <w:r w:rsidR="00793E1C" w:rsidRPr="00C962AD">
        <w:rPr>
          <w:sz w:val="22"/>
          <w:szCs w:val="22"/>
        </w:rPr>
        <w:t>—</w:t>
      </w:r>
      <w:r w:rsidR="004F6694" w:rsidRPr="00C962AD">
        <w:rPr>
          <w:sz w:val="22"/>
          <w:szCs w:val="22"/>
        </w:rPr>
        <w:t>do they have s</w:t>
      </w:r>
      <w:r w:rsidRPr="00C962AD">
        <w:rPr>
          <w:sz w:val="22"/>
          <w:szCs w:val="22"/>
        </w:rPr>
        <w:t>kills? Are they incentivized to do so</w:t>
      </w:r>
      <w:r w:rsidR="00793E1C" w:rsidRPr="00C962AD">
        <w:rPr>
          <w:sz w:val="22"/>
          <w:szCs w:val="22"/>
        </w:rPr>
        <w:t>—</w:t>
      </w:r>
      <w:r w:rsidR="004F6694" w:rsidRPr="00C962AD">
        <w:rPr>
          <w:sz w:val="22"/>
          <w:szCs w:val="22"/>
        </w:rPr>
        <w:t xml:space="preserve">do they </w:t>
      </w:r>
      <w:proofErr w:type="gramStart"/>
      <w:r w:rsidR="004F6694" w:rsidRPr="00C962AD">
        <w:rPr>
          <w:sz w:val="22"/>
          <w:szCs w:val="22"/>
        </w:rPr>
        <w:t>have m</w:t>
      </w:r>
      <w:r w:rsidRPr="00C962AD">
        <w:rPr>
          <w:sz w:val="22"/>
          <w:szCs w:val="22"/>
        </w:rPr>
        <w:t>otivation</w:t>
      </w:r>
      <w:proofErr w:type="gramEnd"/>
      <w:r w:rsidRPr="00C962AD">
        <w:rPr>
          <w:sz w:val="22"/>
          <w:szCs w:val="22"/>
        </w:rPr>
        <w:t xml:space="preserve">? </w:t>
      </w:r>
      <w:r w:rsidR="004F6694" w:rsidRPr="00C962AD">
        <w:rPr>
          <w:sz w:val="22"/>
          <w:szCs w:val="22"/>
        </w:rPr>
        <w:t xml:space="preserve">Do they </w:t>
      </w:r>
      <w:r w:rsidR="008D3A12" w:rsidRPr="00C962AD">
        <w:rPr>
          <w:sz w:val="22"/>
          <w:szCs w:val="22"/>
        </w:rPr>
        <w:t xml:space="preserve">clearly </w:t>
      </w:r>
      <w:r w:rsidR="004F6694" w:rsidRPr="00C962AD">
        <w:rPr>
          <w:sz w:val="22"/>
          <w:szCs w:val="22"/>
        </w:rPr>
        <w:t>understand strategic priorities for data</w:t>
      </w:r>
      <w:r w:rsidR="00793E1C" w:rsidRPr="00C962AD">
        <w:rPr>
          <w:sz w:val="22"/>
          <w:szCs w:val="22"/>
        </w:rPr>
        <w:t>—</w:t>
      </w:r>
      <w:r w:rsidR="004F6694" w:rsidRPr="00C962AD">
        <w:rPr>
          <w:sz w:val="22"/>
          <w:szCs w:val="22"/>
        </w:rPr>
        <w:t>do they have g</w:t>
      </w:r>
      <w:r w:rsidR="00D03FD6" w:rsidRPr="00C962AD">
        <w:rPr>
          <w:sz w:val="22"/>
          <w:szCs w:val="22"/>
        </w:rPr>
        <w:t>uidance</w:t>
      </w:r>
      <w:r w:rsidRPr="00C962AD">
        <w:rPr>
          <w:sz w:val="22"/>
          <w:szCs w:val="22"/>
        </w:rPr>
        <w:t>?</w:t>
      </w:r>
    </w:p>
    <w:p w14:paraId="2AA8C96A" w14:textId="7288DBB1" w:rsidR="004C2FB3" w:rsidRPr="00C962AD" w:rsidRDefault="008C04BA" w:rsidP="00C962AD">
      <w:pPr>
        <w:rPr>
          <w:sz w:val="22"/>
          <w:szCs w:val="22"/>
        </w:rPr>
      </w:pPr>
      <w:r w:rsidRPr="00C962AD">
        <w:rPr>
          <w:sz w:val="22"/>
          <w:szCs w:val="22"/>
        </w:rPr>
        <w:t xml:space="preserve">Three, deploy </w:t>
      </w:r>
      <w:r w:rsidR="00382CBE" w:rsidRPr="00C962AD">
        <w:rPr>
          <w:sz w:val="22"/>
          <w:szCs w:val="22"/>
        </w:rPr>
        <w:t xml:space="preserve">connections </w:t>
      </w:r>
      <w:r w:rsidRPr="00C962AD">
        <w:rPr>
          <w:sz w:val="22"/>
          <w:szCs w:val="22"/>
        </w:rPr>
        <w:t xml:space="preserve">as </w:t>
      </w:r>
      <w:r w:rsidR="00382CBE" w:rsidRPr="00C962AD">
        <w:rPr>
          <w:sz w:val="22"/>
          <w:szCs w:val="22"/>
        </w:rPr>
        <w:t>s</w:t>
      </w:r>
      <w:r w:rsidRPr="00C962AD">
        <w:rPr>
          <w:sz w:val="22"/>
          <w:szCs w:val="22"/>
        </w:rPr>
        <w:t>olutions</w:t>
      </w:r>
      <w:r w:rsidR="00382CBE" w:rsidRPr="00C962AD">
        <w:rPr>
          <w:sz w:val="22"/>
          <w:szCs w:val="22"/>
        </w:rPr>
        <w:t>.</w:t>
      </w:r>
      <w:r w:rsidRPr="00C962AD">
        <w:rPr>
          <w:sz w:val="22"/>
          <w:szCs w:val="22"/>
        </w:rPr>
        <w:t xml:space="preserve"> Once specific practice gaps are identified, deploy </w:t>
      </w:r>
      <w:r w:rsidR="00DB32C1" w:rsidRPr="00C962AD">
        <w:rPr>
          <w:sz w:val="22"/>
          <w:szCs w:val="22"/>
        </w:rPr>
        <w:t>connecting structures</w:t>
      </w:r>
      <w:r w:rsidRPr="00C962AD">
        <w:rPr>
          <w:sz w:val="22"/>
          <w:szCs w:val="22"/>
        </w:rPr>
        <w:t xml:space="preserve"> as targeted solutions. These connections are the mechanisms</w:t>
      </w:r>
      <w:r w:rsidR="00AA3C57" w:rsidRPr="00C962AD">
        <w:rPr>
          <w:sz w:val="22"/>
          <w:szCs w:val="22"/>
        </w:rPr>
        <w:t xml:space="preserve"> that</w:t>
      </w:r>
      <w:r w:rsidRPr="00C962AD">
        <w:rPr>
          <w:sz w:val="22"/>
          <w:szCs w:val="22"/>
        </w:rPr>
        <w:t xml:space="preserve"> </w:t>
      </w:r>
      <w:r w:rsidR="009E581D" w:rsidRPr="00C962AD">
        <w:rPr>
          <w:sz w:val="22"/>
          <w:szCs w:val="22"/>
        </w:rPr>
        <w:t xml:space="preserve">amplify </w:t>
      </w:r>
      <w:r w:rsidR="00CF5FCC" w:rsidRPr="00C962AD">
        <w:rPr>
          <w:sz w:val="22"/>
          <w:szCs w:val="22"/>
        </w:rPr>
        <w:t xml:space="preserve">practices </w:t>
      </w:r>
      <w:r w:rsidRPr="00C962AD">
        <w:rPr>
          <w:sz w:val="22"/>
          <w:szCs w:val="22"/>
        </w:rPr>
        <w:t xml:space="preserve">and scale </w:t>
      </w:r>
      <w:r w:rsidR="00AA3C57" w:rsidRPr="00C962AD">
        <w:rPr>
          <w:sz w:val="22"/>
          <w:szCs w:val="22"/>
        </w:rPr>
        <w:lastRenderedPageBreak/>
        <w:t>their</w:t>
      </w:r>
      <w:r w:rsidR="004439C0" w:rsidRPr="00C962AD">
        <w:rPr>
          <w:sz w:val="22"/>
          <w:szCs w:val="22"/>
        </w:rPr>
        <w:t xml:space="preserve"> </w:t>
      </w:r>
      <w:r w:rsidRPr="00C962AD">
        <w:rPr>
          <w:sz w:val="22"/>
          <w:szCs w:val="22"/>
        </w:rPr>
        <w:t>impact</w:t>
      </w:r>
      <w:r w:rsidR="00AA3C57" w:rsidRPr="00C962AD">
        <w:rPr>
          <w:sz w:val="22"/>
          <w:szCs w:val="22"/>
        </w:rPr>
        <w:t xml:space="preserve"> on data asset use</w:t>
      </w:r>
      <w:r w:rsidRPr="00C962AD">
        <w:rPr>
          <w:sz w:val="22"/>
          <w:szCs w:val="22"/>
        </w:rPr>
        <w:t>. For example, if a lack of skills is the primary barrier, forming cross-functional teams can accelerate applied learning. If motivation is low, embedd</w:t>
      </w:r>
      <w:r w:rsidR="008D3A12" w:rsidRPr="00C962AD">
        <w:rPr>
          <w:sz w:val="22"/>
          <w:szCs w:val="22"/>
        </w:rPr>
        <w:t>ing</w:t>
      </w:r>
      <w:r w:rsidRPr="00C962AD">
        <w:rPr>
          <w:sz w:val="22"/>
          <w:szCs w:val="22"/>
        </w:rPr>
        <w:t xml:space="preserve"> experts within business units can provide hands-on support and build </w:t>
      </w:r>
      <w:r w:rsidR="008D3A12" w:rsidRPr="00C962AD">
        <w:rPr>
          <w:sz w:val="22"/>
          <w:szCs w:val="22"/>
        </w:rPr>
        <w:t>confidence</w:t>
      </w:r>
      <w:r w:rsidRPr="00C962AD">
        <w:rPr>
          <w:sz w:val="22"/>
          <w:szCs w:val="22"/>
        </w:rPr>
        <w:t>.</w:t>
      </w:r>
    </w:p>
    <w:p w14:paraId="2843B6B5" w14:textId="20228D1B" w:rsidR="004C2FB3" w:rsidRPr="00C962AD" w:rsidRDefault="008C04BA" w:rsidP="00C962AD">
      <w:pPr>
        <w:rPr>
          <w:sz w:val="22"/>
          <w:szCs w:val="22"/>
        </w:rPr>
      </w:pPr>
      <w:r w:rsidRPr="00C962AD">
        <w:rPr>
          <w:sz w:val="22"/>
          <w:szCs w:val="22"/>
        </w:rPr>
        <w:t xml:space="preserve">And four, measure and </w:t>
      </w:r>
      <w:r w:rsidR="00382CBE" w:rsidRPr="00C962AD">
        <w:rPr>
          <w:sz w:val="22"/>
          <w:szCs w:val="22"/>
        </w:rPr>
        <w:t>iterate.</w:t>
      </w:r>
      <w:r w:rsidRPr="00C962AD">
        <w:rPr>
          <w:sz w:val="22"/>
          <w:szCs w:val="22"/>
        </w:rPr>
        <w:t xml:space="preserve"> Track the impact of these interventions on the percentage of employees actively using data assets as well as the </w:t>
      </w:r>
      <w:r w:rsidR="00C35327" w:rsidRPr="00C962AD">
        <w:rPr>
          <w:sz w:val="22"/>
          <w:szCs w:val="22"/>
        </w:rPr>
        <w:t>financial return from</w:t>
      </w:r>
      <w:r w:rsidRPr="00C962AD">
        <w:rPr>
          <w:sz w:val="22"/>
          <w:szCs w:val="22"/>
        </w:rPr>
        <w:t xml:space="preserve"> data monetization initiatives. Use these insights to refine your approach and guide your next actions.</w:t>
      </w:r>
    </w:p>
    <w:p w14:paraId="5F9E0785" w14:textId="14D46E92" w:rsidR="00B407D3" w:rsidRPr="00C962AD" w:rsidRDefault="00000000" w:rsidP="00C962AD">
      <w:pPr>
        <w:rPr>
          <w:sz w:val="22"/>
          <w:szCs w:val="22"/>
        </w:rPr>
      </w:pPr>
      <w:r w:rsidRPr="00C962AD">
        <w:rPr>
          <w:sz w:val="22"/>
          <w:szCs w:val="22"/>
        </w:rPr>
        <w:t xml:space="preserve">By taking these steps, </w:t>
      </w:r>
      <w:r w:rsidR="008430BE" w:rsidRPr="00C962AD">
        <w:rPr>
          <w:sz w:val="22"/>
          <w:szCs w:val="22"/>
        </w:rPr>
        <w:t>leaders</w:t>
      </w:r>
      <w:r w:rsidRPr="00C962AD">
        <w:rPr>
          <w:sz w:val="22"/>
          <w:szCs w:val="22"/>
        </w:rPr>
        <w:t xml:space="preserve"> can close the costly gap between data asset availability and use. </w:t>
      </w:r>
      <w:r w:rsidR="008430BE" w:rsidRPr="00C962AD">
        <w:rPr>
          <w:sz w:val="22"/>
          <w:szCs w:val="22"/>
        </w:rPr>
        <w:t>The systematic design of</w:t>
      </w:r>
      <w:r w:rsidR="00ED61C8" w:rsidRPr="00C962AD">
        <w:rPr>
          <w:sz w:val="22"/>
          <w:szCs w:val="22"/>
        </w:rPr>
        <w:t xml:space="preserve"> a data democracy fosters a</w:t>
      </w:r>
      <w:r w:rsidR="008430BE" w:rsidRPr="00C962AD">
        <w:rPr>
          <w:sz w:val="22"/>
          <w:szCs w:val="22"/>
        </w:rPr>
        <w:t>n agile</w:t>
      </w:r>
      <w:r w:rsidR="00ED61C8" w:rsidRPr="00C962AD">
        <w:rPr>
          <w:sz w:val="22"/>
          <w:szCs w:val="22"/>
        </w:rPr>
        <w:t xml:space="preserve"> workforce of enabled and empowered experts</w:t>
      </w:r>
      <w:r w:rsidR="00B27656" w:rsidRPr="00C962AD">
        <w:rPr>
          <w:sz w:val="22"/>
          <w:szCs w:val="22"/>
        </w:rPr>
        <w:t>—</w:t>
      </w:r>
      <w:r w:rsidR="008430BE" w:rsidRPr="00C962AD">
        <w:rPr>
          <w:sz w:val="22"/>
          <w:szCs w:val="22"/>
        </w:rPr>
        <w:t>the engine that translates data assets into financial returns.</w:t>
      </w:r>
    </w:p>
    <w:p w14:paraId="3E55F588" w14:textId="522C2B46" w:rsidR="00C962AD" w:rsidRPr="00C962AD" w:rsidRDefault="00C962AD" w:rsidP="00C962AD">
      <w:pPr>
        <w:rPr>
          <w:sz w:val="22"/>
          <w:szCs w:val="22"/>
        </w:rPr>
      </w:pPr>
      <w:r w:rsidRPr="00C962AD">
        <w:rPr>
          <w:sz w:val="22"/>
          <w:szCs w:val="22"/>
        </w:rPr>
        <w:t>Speaker 1:</w:t>
      </w:r>
      <w:r w:rsidRPr="00C962AD">
        <w:rPr>
          <w:sz w:val="22"/>
          <w:szCs w:val="22"/>
        </w:rPr>
        <w:tab/>
        <w:t>Thanks for listening to this reading of MIT CISR research, and thanks to the sponsors and patrons who support our work. Get free access to more research on our website at cisr.mit.edu.</w:t>
      </w:r>
    </w:p>
    <w:sectPr w:rsidR="00C962AD" w:rsidRPr="00C962AD">
      <w:footerReference w:type="default" r:id="rId8"/>
      <w:footnotePr>
        <w:numRestart w:val="eachSect"/>
      </w:footnotePr>
      <w:endnotePr>
        <w:pos w:val="sectEnd"/>
        <w:numFmt w:val="decimal"/>
        <w:numRestart w:val="eachSect"/>
      </w:endnotePr>
      <w:pgSz w:w="12240" w:h="15840"/>
      <w:pgMar w:top="1360" w:right="1360" w:bottom="1360" w:left="1360" w:header="737"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3617" w14:textId="77777777" w:rsidR="002526FC" w:rsidRDefault="002526FC">
      <w:pPr>
        <w:spacing w:line="240" w:lineRule="auto"/>
      </w:pPr>
      <w:r>
        <w:separator/>
      </w:r>
    </w:p>
  </w:endnote>
  <w:endnote w:type="continuationSeparator" w:id="0">
    <w:p w14:paraId="18D1C5F1" w14:textId="77777777" w:rsidR="002526FC" w:rsidRDefault="00252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tima Regular">
    <w:altName w:val="Optima"/>
    <w:panose1 w:val="02000503060000020004"/>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3529" w14:textId="77777777" w:rsidR="004C2FB3" w:rsidRDefault="00000000">
    <w:pPr>
      <w:jc w:val="center"/>
    </w:pPr>
    <w:r>
      <w:fldChar w:fldCharType="begin"/>
    </w:r>
    <w:r>
      <w:instrText>PAGE \* MERGEFORMAT</w:instrText>
    </w:r>
    <w:r>
      <w:fldChar w:fldCharType="separate"/>
    </w:r>
    <w:r>
      <w:rPr>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3991" w14:textId="77777777" w:rsidR="002526FC" w:rsidRDefault="002526FC">
      <w:pPr>
        <w:spacing w:before="170" w:after="200"/>
      </w:pPr>
      <w:r>
        <w:separator/>
      </w:r>
    </w:p>
  </w:footnote>
  <w:footnote w:type="continuationSeparator" w:id="0">
    <w:p w14:paraId="316E2C13" w14:textId="77777777" w:rsidR="002526FC" w:rsidRDefault="002526FC">
      <w:pPr>
        <w:spacing w:before="170" w:after="2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655FA"/>
    <w:multiLevelType w:val="hybridMultilevel"/>
    <w:tmpl w:val="13E24940"/>
    <w:lvl w:ilvl="0" w:tplc="B34E33C2">
      <w:numFmt w:val="bullet"/>
      <w:lvlText w:val="—"/>
      <w:lvlJc w:val="left"/>
      <w:pPr>
        <w:ind w:left="720" w:hanging="360"/>
      </w:pPr>
      <w:rPr>
        <w:rFonts w:ascii="Optima Regular" w:eastAsia="Optima Regular" w:hAnsi="Optima Regular" w:cs="Optima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D6418"/>
    <w:multiLevelType w:val="singleLevel"/>
    <w:tmpl w:val="84C6133E"/>
    <w:lvl w:ilvl="0">
      <w:start w:val="1"/>
      <w:numFmt w:val="decimal"/>
      <w:lvlText w:val="%1."/>
      <w:lvlJc w:val="left"/>
      <w:pPr>
        <w:tabs>
          <w:tab w:val="num" w:pos="680"/>
        </w:tabs>
        <w:ind w:left="680" w:hanging="300"/>
      </w:pPr>
    </w:lvl>
  </w:abstractNum>
  <w:num w:numId="1" w16cid:durableId="413209848">
    <w:abstractNumId w:val="1"/>
  </w:num>
  <w:num w:numId="2" w16cid:durableId="18135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B3"/>
    <w:rsid w:val="00031687"/>
    <w:rsid w:val="0005351B"/>
    <w:rsid w:val="00091F76"/>
    <w:rsid w:val="00095D84"/>
    <w:rsid w:val="000C1C17"/>
    <w:rsid w:val="000D2702"/>
    <w:rsid w:val="000D2B24"/>
    <w:rsid w:val="00100EA3"/>
    <w:rsid w:val="00105390"/>
    <w:rsid w:val="001402F5"/>
    <w:rsid w:val="001420AE"/>
    <w:rsid w:val="001547C1"/>
    <w:rsid w:val="001648F6"/>
    <w:rsid w:val="0019709A"/>
    <w:rsid w:val="001A1B16"/>
    <w:rsid w:val="001C385F"/>
    <w:rsid w:val="001C4AD0"/>
    <w:rsid w:val="001E2EC7"/>
    <w:rsid w:val="001E4C12"/>
    <w:rsid w:val="001F55A4"/>
    <w:rsid w:val="001F6B17"/>
    <w:rsid w:val="002237CC"/>
    <w:rsid w:val="00245B20"/>
    <w:rsid w:val="002526FC"/>
    <w:rsid w:val="002655EF"/>
    <w:rsid w:val="002704A7"/>
    <w:rsid w:val="00272C8D"/>
    <w:rsid w:val="002858EA"/>
    <w:rsid w:val="002A0FC2"/>
    <w:rsid w:val="00314B5A"/>
    <w:rsid w:val="003422A3"/>
    <w:rsid w:val="003476AF"/>
    <w:rsid w:val="003547C9"/>
    <w:rsid w:val="003557AD"/>
    <w:rsid w:val="00365D19"/>
    <w:rsid w:val="00382CBE"/>
    <w:rsid w:val="00384588"/>
    <w:rsid w:val="003862DD"/>
    <w:rsid w:val="003E50EE"/>
    <w:rsid w:val="00404E61"/>
    <w:rsid w:val="00421DD2"/>
    <w:rsid w:val="00432685"/>
    <w:rsid w:val="004346C0"/>
    <w:rsid w:val="004439C0"/>
    <w:rsid w:val="00467553"/>
    <w:rsid w:val="004A226E"/>
    <w:rsid w:val="004C2FB3"/>
    <w:rsid w:val="004C4143"/>
    <w:rsid w:val="004C63A0"/>
    <w:rsid w:val="004D3F18"/>
    <w:rsid w:val="004E08F9"/>
    <w:rsid w:val="004F6694"/>
    <w:rsid w:val="00500352"/>
    <w:rsid w:val="00504B5A"/>
    <w:rsid w:val="00536EAC"/>
    <w:rsid w:val="005444C1"/>
    <w:rsid w:val="00550395"/>
    <w:rsid w:val="005561D7"/>
    <w:rsid w:val="005702AD"/>
    <w:rsid w:val="0059389E"/>
    <w:rsid w:val="005D6D3C"/>
    <w:rsid w:val="005F7F72"/>
    <w:rsid w:val="00614373"/>
    <w:rsid w:val="00621D46"/>
    <w:rsid w:val="0063597B"/>
    <w:rsid w:val="0064039B"/>
    <w:rsid w:val="00643F63"/>
    <w:rsid w:val="006446EB"/>
    <w:rsid w:val="0065098D"/>
    <w:rsid w:val="006512B5"/>
    <w:rsid w:val="00653827"/>
    <w:rsid w:val="00662A80"/>
    <w:rsid w:val="00667331"/>
    <w:rsid w:val="00692580"/>
    <w:rsid w:val="006A1BF0"/>
    <w:rsid w:val="006B31EC"/>
    <w:rsid w:val="006B7C4A"/>
    <w:rsid w:val="006C3EF1"/>
    <w:rsid w:val="006D4E9F"/>
    <w:rsid w:val="006F4334"/>
    <w:rsid w:val="006F6E30"/>
    <w:rsid w:val="007376FA"/>
    <w:rsid w:val="00754E6E"/>
    <w:rsid w:val="00761BDD"/>
    <w:rsid w:val="00761E4E"/>
    <w:rsid w:val="00767587"/>
    <w:rsid w:val="00774BDB"/>
    <w:rsid w:val="00776332"/>
    <w:rsid w:val="00782183"/>
    <w:rsid w:val="00793E1C"/>
    <w:rsid w:val="007A797B"/>
    <w:rsid w:val="007B0FAB"/>
    <w:rsid w:val="007C10DB"/>
    <w:rsid w:val="007F6958"/>
    <w:rsid w:val="0081048F"/>
    <w:rsid w:val="00827980"/>
    <w:rsid w:val="00830B32"/>
    <w:rsid w:val="008430BE"/>
    <w:rsid w:val="008536EF"/>
    <w:rsid w:val="008625A7"/>
    <w:rsid w:val="008C04BA"/>
    <w:rsid w:val="008D364A"/>
    <w:rsid w:val="008D3A12"/>
    <w:rsid w:val="008E22C4"/>
    <w:rsid w:val="008E55DD"/>
    <w:rsid w:val="008F4766"/>
    <w:rsid w:val="009208D6"/>
    <w:rsid w:val="00926EC6"/>
    <w:rsid w:val="0097246C"/>
    <w:rsid w:val="009772B0"/>
    <w:rsid w:val="00983393"/>
    <w:rsid w:val="0099245C"/>
    <w:rsid w:val="009B7847"/>
    <w:rsid w:val="009C2D1F"/>
    <w:rsid w:val="009C6A48"/>
    <w:rsid w:val="009E581D"/>
    <w:rsid w:val="00A21467"/>
    <w:rsid w:val="00A32F03"/>
    <w:rsid w:val="00A37D0C"/>
    <w:rsid w:val="00A421ED"/>
    <w:rsid w:val="00A61021"/>
    <w:rsid w:val="00A908DD"/>
    <w:rsid w:val="00AA3C57"/>
    <w:rsid w:val="00AC2F60"/>
    <w:rsid w:val="00AC7672"/>
    <w:rsid w:val="00AD29BE"/>
    <w:rsid w:val="00B041AB"/>
    <w:rsid w:val="00B07499"/>
    <w:rsid w:val="00B27656"/>
    <w:rsid w:val="00B407D3"/>
    <w:rsid w:val="00B5409A"/>
    <w:rsid w:val="00B6680A"/>
    <w:rsid w:val="00B67452"/>
    <w:rsid w:val="00B77ED3"/>
    <w:rsid w:val="00BA7CF7"/>
    <w:rsid w:val="00BB41F6"/>
    <w:rsid w:val="00BD239D"/>
    <w:rsid w:val="00BD2CF5"/>
    <w:rsid w:val="00BD3C38"/>
    <w:rsid w:val="00BD50A0"/>
    <w:rsid w:val="00BD6718"/>
    <w:rsid w:val="00BF1B6B"/>
    <w:rsid w:val="00C107D3"/>
    <w:rsid w:val="00C143E1"/>
    <w:rsid w:val="00C2284F"/>
    <w:rsid w:val="00C24E9A"/>
    <w:rsid w:val="00C34642"/>
    <w:rsid w:val="00C35327"/>
    <w:rsid w:val="00C4371F"/>
    <w:rsid w:val="00C471D3"/>
    <w:rsid w:val="00C51016"/>
    <w:rsid w:val="00C52E3F"/>
    <w:rsid w:val="00C54FA0"/>
    <w:rsid w:val="00C648F8"/>
    <w:rsid w:val="00C75B44"/>
    <w:rsid w:val="00C817AF"/>
    <w:rsid w:val="00C92B0B"/>
    <w:rsid w:val="00C962AD"/>
    <w:rsid w:val="00CC3CE6"/>
    <w:rsid w:val="00CE1E8A"/>
    <w:rsid w:val="00CF5FCC"/>
    <w:rsid w:val="00D03FD6"/>
    <w:rsid w:val="00D07D39"/>
    <w:rsid w:val="00D159A0"/>
    <w:rsid w:val="00D444CA"/>
    <w:rsid w:val="00D75E23"/>
    <w:rsid w:val="00DA559D"/>
    <w:rsid w:val="00DB32C1"/>
    <w:rsid w:val="00DE6452"/>
    <w:rsid w:val="00E62282"/>
    <w:rsid w:val="00E85023"/>
    <w:rsid w:val="00EA4AB8"/>
    <w:rsid w:val="00EB17E6"/>
    <w:rsid w:val="00EB191B"/>
    <w:rsid w:val="00EB3767"/>
    <w:rsid w:val="00EC2B63"/>
    <w:rsid w:val="00ED61C8"/>
    <w:rsid w:val="00EE37D0"/>
    <w:rsid w:val="00EF0D71"/>
    <w:rsid w:val="00EF4452"/>
    <w:rsid w:val="00F11DE5"/>
    <w:rsid w:val="00F32471"/>
    <w:rsid w:val="00F83FB1"/>
    <w:rsid w:val="00F8570D"/>
    <w:rsid w:val="00F95669"/>
    <w:rsid w:val="00F9675E"/>
    <w:rsid w:val="00FA12AD"/>
    <w:rsid w:val="00FA1493"/>
    <w:rsid w:val="00FB77A4"/>
    <w:rsid w:val="00FD04B9"/>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635711"/>
  <w15:docId w15:val="{F26EE842-EE16-3049-BF27-0534854E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tima Regular" w:eastAsia="Optima Regular" w:hAnsi="Optima Regular" w:cs="Optima Regular"/>
        <w:sz w:val="24"/>
        <w:szCs w:val="24"/>
        <w:lang w:val="en-US" w:eastAsia="en-US" w:bidi="en-US"/>
        <w14:ligatures w14:val="standardContextual"/>
      </w:rPr>
    </w:rPrDefault>
    <w:pPrDefault>
      <w:pPr>
        <w:suppressAutoHyphens/>
        <w:spacing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AD"/>
    <w:pPr>
      <w:spacing w:after="160" w:line="360" w:lineRule="auto"/>
    </w:pPr>
    <w:rPr>
      <w:rFonts w:ascii="Calibri" w:hAnsi="Calibri"/>
    </w:rPr>
  </w:style>
  <w:style w:type="paragraph" w:styleId="Heading1">
    <w:name w:val="heading 1"/>
    <w:basedOn w:val="Normal"/>
    <w:uiPriority w:val="9"/>
    <w:qFormat/>
    <w:pPr>
      <w:keepNext/>
      <w:spacing w:line="720" w:lineRule="atLeast"/>
      <w:outlineLvl w:val="0"/>
    </w:pPr>
    <w:rPr>
      <w:b/>
      <w:sz w:val="60"/>
      <w:szCs w:val="60"/>
    </w:rPr>
  </w:style>
  <w:style w:type="paragraph" w:styleId="Heading2">
    <w:name w:val="heading 2"/>
    <w:basedOn w:val="Normal"/>
    <w:uiPriority w:val="9"/>
    <w:unhideWhenUsed/>
    <w:qFormat/>
    <w:pPr>
      <w:keepNext/>
      <w:spacing w:line="560" w:lineRule="atLeast"/>
      <w:outlineLvl w:val="1"/>
    </w:pPr>
    <w:rPr>
      <w:b/>
      <w:sz w:val="48"/>
      <w:szCs w:val="48"/>
    </w:rPr>
  </w:style>
  <w:style w:type="paragraph" w:styleId="Heading3">
    <w:name w:val="heading 3"/>
    <w:basedOn w:val="Normal"/>
    <w:uiPriority w:val="9"/>
    <w:unhideWhenUsed/>
    <w:qFormat/>
    <w:pPr>
      <w:keepNext/>
      <w:spacing w:line="440" w:lineRule="atLeast"/>
      <w:outlineLvl w:val="2"/>
    </w:pPr>
    <w:rPr>
      <w:sz w:val="40"/>
      <w:szCs w:val="40"/>
    </w:rPr>
  </w:style>
  <w:style w:type="paragraph" w:styleId="Heading4">
    <w:name w:val="heading 4"/>
    <w:basedOn w:val="Normal"/>
    <w:uiPriority w:val="9"/>
    <w:semiHidden/>
    <w:unhideWhenUsed/>
    <w:qFormat/>
    <w:pPr>
      <w:keepNext/>
      <w:outlineLvl w:val="3"/>
    </w:pPr>
    <w:rPr>
      <w:sz w:val="32"/>
      <w:szCs w:val="32"/>
    </w:rPr>
  </w:style>
  <w:style w:type="paragraph" w:styleId="Heading5">
    <w:name w:val="heading 5"/>
    <w:basedOn w:val="Normal"/>
    <w:uiPriority w:val="9"/>
    <w:semiHidden/>
    <w:unhideWhenUsed/>
    <w:qFormat/>
    <w:pPr>
      <w:keepNext/>
      <w:spacing w:line="320" w:lineRule="atLeast"/>
      <w:outlineLvl w:val="4"/>
    </w:pPr>
    <w:rPr>
      <w:sz w:val="28"/>
      <w:szCs w:val="28"/>
      <w:u w:val="single"/>
    </w:rPr>
  </w:style>
  <w:style w:type="paragraph" w:styleId="Heading6">
    <w:name w:val="heading 6"/>
    <w:basedOn w:val="Normal"/>
    <w:uiPriority w:val="9"/>
    <w:semiHidden/>
    <w:unhideWhenUsed/>
    <w:qFormat/>
    <w:pPr>
      <w:keepNext/>
      <w:spacing w:line="240" w:lineRule="atLeast"/>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Block">
    <w:name w:val="Comment Block"/>
    <w:basedOn w:val="Normal"/>
    <w:uiPriority w:val="1"/>
    <w:semiHidden/>
    <w:unhideWhenUsed/>
    <w:qFormat/>
    <w:rPr>
      <w:color w:val="838383"/>
    </w:rPr>
  </w:style>
  <w:style w:type="paragraph" w:customStyle="1" w:styleId="DashedList">
    <w:name w:val="Dashed List"/>
    <w:basedOn w:val="Normal"/>
    <w:uiPriority w:val="1"/>
    <w:qFormat/>
  </w:style>
  <w:style w:type="paragraph" w:styleId="Caption">
    <w:name w:val="caption"/>
    <w:basedOn w:val="Normal"/>
    <w:uiPriority w:val="1"/>
    <w:semiHidden/>
    <w:unhideWhenUsed/>
    <w:qFormat/>
    <w:pPr>
      <w:spacing w:line="300" w:lineRule="atLeast"/>
      <w:jc w:val="center"/>
    </w:pPr>
    <w:rPr>
      <w:sz w:val="20"/>
      <w:szCs w:val="20"/>
    </w:rPr>
  </w:style>
  <w:style w:type="paragraph" w:styleId="FootnoteText">
    <w:name w:val="footnote text"/>
    <w:basedOn w:val="Normal"/>
    <w:uiPriority w:val="1"/>
    <w:qFormat/>
    <w:pPr>
      <w:spacing w:after="170"/>
    </w:pPr>
  </w:style>
  <w:style w:type="paragraph" w:customStyle="1" w:styleId="RawSourceBlock">
    <w:name w:val="Raw Source Block"/>
    <w:basedOn w:val="Normal"/>
    <w:uiPriority w:val="1"/>
    <w:semiHidden/>
    <w:unhideWhenUsed/>
    <w:qFormat/>
  </w:style>
  <w:style w:type="paragraph" w:customStyle="1" w:styleId="Divider">
    <w:name w:val="Divider"/>
    <w:basedOn w:val="Normal"/>
    <w:uiPriority w:val="1"/>
    <w:semiHidden/>
    <w:unhideWhenUsed/>
    <w:qFormat/>
  </w:style>
  <w:style w:type="paragraph" w:customStyle="1" w:styleId="CodeBlock">
    <w:name w:val="Code Block"/>
    <w:basedOn w:val="Normal"/>
    <w:uiPriority w:val="1"/>
    <w:semiHidden/>
    <w:unhideWhenUsed/>
    <w:qFormat/>
    <w:pPr>
      <w:spacing w:line="215" w:lineRule="atLeast"/>
      <w:ind w:hanging="432"/>
    </w:pPr>
    <w:rPr>
      <w:rFonts w:ascii="Courier New" w:eastAsia="Courier New" w:hAnsi="Courier New" w:cs="Courier New"/>
      <w:color w:val="000000"/>
      <w:sz w:val="18"/>
      <w:szCs w:val="18"/>
    </w:rPr>
  </w:style>
  <w:style w:type="paragraph" w:styleId="TOC1">
    <w:name w:val="toc 1"/>
    <w:basedOn w:val="Normal"/>
    <w:uiPriority w:val="1"/>
    <w:semiHidden/>
    <w:unhideWhenUsed/>
    <w:qFormat/>
    <w:pPr>
      <w:spacing w:line="480" w:lineRule="atLeast"/>
    </w:pPr>
    <w:rPr>
      <w:b/>
    </w:rPr>
  </w:style>
  <w:style w:type="paragraph" w:customStyle="1" w:styleId="NumberedList">
    <w:name w:val="Numbered List"/>
    <w:basedOn w:val="Normal"/>
    <w:uiPriority w:val="1"/>
    <w:qFormat/>
  </w:style>
  <w:style w:type="paragraph" w:styleId="Quote">
    <w:name w:val="Quote"/>
    <w:basedOn w:val="Normal"/>
    <w:uiPriority w:val="1"/>
    <w:semiHidden/>
    <w:unhideWhenUsed/>
    <w:qFormat/>
  </w:style>
  <w:style w:type="character" w:styleId="FootnoteReference">
    <w:name w:val="footnote reference"/>
    <w:uiPriority w:val="2"/>
    <w:qFormat/>
    <w:rPr>
      <w:rFonts w:ascii="Optima Regular" w:eastAsia="Optima Regular" w:hAnsi="Optima Regular" w:cs="Optima Regular"/>
      <w:b/>
      <w:sz w:val="20"/>
      <w:szCs w:val="20"/>
      <w:vertAlign w:val="superscript"/>
    </w:rPr>
  </w:style>
  <w:style w:type="character" w:customStyle="1" w:styleId="Tag">
    <w:name w:val="Tag"/>
    <w:uiPriority w:val="2"/>
    <w:semiHidden/>
    <w:unhideWhenUsed/>
    <w:qFormat/>
  </w:style>
  <w:style w:type="character" w:customStyle="1" w:styleId="RawSource">
    <w:name w:val="Raw Source"/>
    <w:uiPriority w:val="2"/>
    <w:semiHidden/>
    <w:unhideWhenUsed/>
    <w:qFormat/>
  </w:style>
  <w:style w:type="character" w:customStyle="1" w:styleId="Delete">
    <w:name w:val="Delete"/>
    <w:uiPriority w:val="2"/>
    <w:semiHidden/>
    <w:unhideWhenUsed/>
    <w:qFormat/>
    <w:rPr>
      <w:strike/>
    </w:rPr>
  </w:style>
  <w:style w:type="character" w:styleId="Strong">
    <w:name w:val="Strong"/>
    <w:uiPriority w:val="22"/>
    <w:qFormat/>
    <w:rPr>
      <w:rFonts w:ascii="Optima Regular" w:eastAsia="Optima Regular" w:hAnsi="Optima Regular" w:cs="Optima Regular"/>
      <w:b/>
    </w:rPr>
  </w:style>
  <w:style w:type="character" w:customStyle="1" w:styleId="Footnote">
    <w:name w:val="Footnote"/>
    <w:uiPriority w:val="2"/>
    <w:qFormat/>
    <w:rPr>
      <w:rFonts w:ascii="Optima Regular" w:eastAsia="Optima Regular" w:hAnsi="Optima Regular" w:cs="Optima Regular"/>
      <w:b/>
    </w:rPr>
  </w:style>
  <w:style w:type="character" w:styleId="Emphasis">
    <w:name w:val="Emphasis"/>
    <w:uiPriority w:val="2"/>
    <w:qFormat/>
    <w:rPr>
      <w:rFonts w:ascii="Optima Regular" w:eastAsia="Optima Regular" w:hAnsi="Optima Regular" w:cs="Optima Regular"/>
      <w:i/>
    </w:rPr>
  </w:style>
  <w:style w:type="character" w:customStyle="1" w:styleId="Comment">
    <w:name w:val="Comment"/>
    <w:uiPriority w:val="2"/>
    <w:semiHidden/>
    <w:unhideWhenUsed/>
    <w:qFormat/>
    <w:rPr>
      <w:color w:val="77787B"/>
    </w:rPr>
  </w:style>
  <w:style w:type="character" w:customStyle="1" w:styleId="Link">
    <w:name w:val="Link"/>
    <w:uiPriority w:val="2"/>
    <w:qFormat/>
    <w:rPr>
      <w:rFonts w:ascii="Courier New" w:eastAsia="Courier New" w:hAnsi="Courier New" w:cs="Courier New"/>
      <w:u w:val="single"/>
    </w:rPr>
  </w:style>
  <w:style w:type="character" w:customStyle="1" w:styleId="Marked">
    <w:name w:val="Marked"/>
    <w:uiPriority w:val="2"/>
    <w:semiHidden/>
    <w:unhideWhenUsed/>
    <w:qFormat/>
  </w:style>
  <w:style w:type="character" w:customStyle="1" w:styleId="Annotation">
    <w:name w:val="Annotation"/>
    <w:uiPriority w:val="2"/>
    <w:semiHidden/>
    <w:unhideWhenUsed/>
    <w:qFormat/>
  </w:style>
  <w:style w:type="character" w:customStyle="1" w:styleId="Code">
    <w:name w:val="Code"/>
    <w:uiPriority w:val="2"/>
    <w:semiHidden/>
    <w:unhideWhenUsed/>
    <w:qFormat/>
    <w:rPr>
      <w:rFonts w:ascii="Courier New" w:eastAsia="Courier New" w:hAnsi="Courier New" w:cs="Courier New"/>
      <w:sz w:val="18"/>
      <w:szCs w:val="18"/>
    </w:rPr>
  </w:style>
  <w:style w:type="character" w:customStyle="1" w:styleId="Citation">
    <w:name w:val="Citation"/>
    <w:uiPriority w:val="2"/>
    <w:semiHidden/>
    <w:unhideWhenUsed/>
    <w:qFormat/>
    <w:rPr>
      <w:rFonts w:ascii="Optima Regular" w:eastAsia="Optima Regular" w:hAnsi="Optima Regular" w:cs="Optima Regular"/>
      <w:i/>
    </w:rPr>
  </w:style>
  <w:style w:type="paragraph" w:styleId="ListParagraph">
    <w:name w:val="List Paragraph"/>
    <w:basedOn w:val="Normal"/>
    <w:uiPriority w:val="34"/>
    <w:qFormat/>
    <w:rsid w:val="00F95669"/>
    <w:pPr>
      <w:ind w:left="720"/>
      <w:contextualSpacing/>
    </w:pPr>
  </w:style>
  <w:style w:type="paragraph" w:styleId="Revision">
    <w:name w:val="Revision"/>
    <w:hidden/>
    <w:uiPriority w:val="99"/>
    <w:semiHidden/>
    <w:rsid w:val="00F83FB1"/>
    <w:pPr>
      <w:suppressAutoHyphens w:val="0"/>
      <w:spacing w:line="240" w:lineRule="auto"/>
    </w:pPr>
  </w:style>
  <w:style w:type="character" w:styleId="CommentReference">
    <w:name w:val="annotation reference"/>
    <w:basedOn w:val="DefaultParagraphFont"/>
    <w:uiPriority w:val="99"/>
    <w:semiHidden/>
    <w:unhideWhenUsed/>
    <w:rsid w:val="00F83FB1"/>
    <w:rPr>
      <w:sz w:val="16"/>
      <w:szCs w:val="16"/>
    </w:rPr>
  </w:style>
  <w:style w:type="paragraph" w:styleId="CommentText">
    <w:name w:val="annotation text"/>
    <w:basedOn w:val="Normal"/>
    <w:link w:val="CommentTextChar"/>
    <w:uiPriority w:val="99"/>
    <w:semiHidden/>
    <w:unhideWhenUsed/>
    <w:rsid w:val="00F83FB1"/>
    <w:pPr>
      <w:spacing w:line="240" w:lineRule="auto"/>
    </w:pPr>
    <w:rPr>
      <w:sz w:val="20"/>
      <w:szCs w:val="20"/>
    </w:rPr>
  </w:style>
  <w:style w:type="character" w:customStyle="1" w:styleId="CommentTextChar">
    <w:name w:val="Comment Text Char"/>
    <w:basedOn w:val="DefaultParagraphFont"/>
    <w:link w:val="CommentText"/>
    <w:uiPriority w:val="99"/>
    <w:semiHidden/>
    <w:rsid w:val="00F83FB1"/>
    <w:rPr>
      <w:sz w:val="20"/>
      <w:szCs w:val="20"/>
    </w:rPr>
  </w:style>
  <w:style w:type="paragraph" w:styleId="CommentSubject">
    <w:name w:val="annotation subject"/>
    <w:basedOn w:val="CommentText"/>
    <w:next w:val="CommentText"/>
    <w:link w:val="CommentSubjectChar"/>
    <w:uiPriority w:val="99"/>
    <w:semiHidden/>
    <w:unhideWhenUsed/>
    <w:rsid w:val="00F83FB1"/>
    <w:rPr>
      <w:b/>
      <w:bCs/>
    </w:rPr>
  </w:style>
  <w:style w:type="character" w:customStyle="1" w:styleId="CommentSubjectChar">
    <w:name w:val="Comment Subject Char"/>
    <w:basedOn w:val="CommentTextChar"/>
    <w:link w:val="CommentSubject"/>
    <w:uiPriority w:val="99"/>
    <w:semiHidden/>
    <w:rsid w:val="00F83FB1"/>
    <w:rPr>
      <w:b/>
      <w:bCs/>
      <w:sz w:val="20"/>
      <w:szCs w:val="20"/>
    </w:rPr>
  </w:style>
  <w:style w:type="character" w:styleId="Hyperlink">
    <w:name w:val="Hyperlink"/>
    <w:basedOn w:val="DefaultParagraphFont"/>
    <w:uiPriority w:val="99"/>
    <w:unhideWhenUsed/>
    <w:rsid w:val="0064039B"/>
    <w:rPr>
      <w:color w:val="467886" w:themeColor="hyperlink"/>
      <w:u w:val="single"/>
    </w:rPr>
  </w:style>
  <w:style w:type="character" w:styleId="UnresolvedMention">
    <w:name w:val="Unresolved Mention"/>
    <w:basedOn w:val="DefaultParagraphFont"/>
    <w:uiPriority w:val="99"/>
    <w:semiHidden/>
    <w:unhideWhenUsed/>
    <w:rsid w:val="0064039B"/>
    <w:rPr>
      <w:color w:val="605E5C"/>
      <w:shd w:val="clear" w:color="auto" w:fill="E1DFDD"/>
    </w:rPr>
  </w:style>
  <w:style w:type="paragraph" w:styleId="Header">
    <w:name w:val="header"/>
    <w:basedOn w:val="Normal"/>
    <w:link w:val="HeaderChar"/>
    <w:uiPriority w:val="99"/>
    <w:unhideWhenUsed/>
    <w:rsid w:val="00667331"/>
    <w:pPr>
      <w:tabs>
        <w:tab w:val="center" w:pos="4680"/>
        <w:tab w:val="right" w:pos="9360"/>
      </w:tabs>
      <w:spacing w:line="240" w:lineRule="auto"/>
    </w:pPr>
  </w:style>
  <w:style w:type="character" w:customStyle="1" w:styleId="HeaderChar">
    <w:name w:val="Header Char"/>
    <w:basedOn w:val="DefaultParagraphFont"/>
    <w:link w:val="Header"/>
    <w:uiPriority w:val="99"/>
    <w:rsid w:val="00667331"/>
  </w:style>
  <w:style w:type="paragraph" w:styleId="Footer">
    <w:name w:val="footer"/>
    <w:basedOn w:val="Normal"/>
    <w:link w:val="FooterChar"/>
    <w:uiPriority w:val="99"/>
    <w:unhideWhenUsed/>
    <w:rsid w:val="00667331"/>
    <w:pPr>
      <w:tabs>
        <w:tab w:val="center" w:pos="4680"/>
        <w:tab w:val="right" w:pos="9360"/>
      </w:tabs>
      <w:spacing w:line="240" w:lineRule="auto"/>
    </w:pPr>
  </w:style>
  <w:style w:type="character" w:customStyle="1" w:styleId="FooterChar">
    <w:name w:val="Footer Char"/>
    <w:basedOn w:val="DefaultParagraphFont"/>
    <w:link w:val="Footer"/>
    <w:uiPriority w:val="99"/>
    <w:rsid w:val="0066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9B11031-30DA-C344-A953-3B25E316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Cheryl A Miller</cp:lastModifiedBy>
  <cp:revision>4</cp:revision>
  <cp:lastPrinted>2025-08-31T02:44:00Z</cp:lastPrinted>
  <dcterms:created xsi:type="dcterms:W3CDTF">2025-09-17T14:38:00Z</dcterms:created>
  <dcterms:modified xsi:type="dcterms:W3CDTF">2025-09-17T14:42:00Z</dcterms:modified>
</cp:coreProperties>
</file>