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75E9" w14:textId="77777777" w:rsidR="00B71E43" w:rsidRDefault="00B71E43" w:rsidP="00B71E43">
      <w:pPr>
        <w:spacing w:after="120" w:line="240" w:lineRule="auto"/>
        <w:rPr>
          <w:sz w:val="24"/>
          <w:szCs w:val="22"/>
        </w:rPr>
      </w:pPr>
      <w:bookmarkStart w:id="0" w:name="_Toc138110658"/>
      <w:r w:rsidRPr="00B34F55">
        <w:rPr>
          <w:sz w:val="24"/>
          <w:szCs w:val="22"/>
        </w:rPr>
        <w:t>Speaker 1:</w:t>
      </w:r>
      <w:r w:rsidRPr="00B34F55">
        <w:rPr>
          <w:sz w:val="24"/>
          <w:szCs w:val="22"/>
        </w:rPr>
        <w:tab/>
        <w:t>Welcome to the MIT CISR Research Briefing series. The center for information systems research is based at the Sloan School of Management at MIT. We study digital transformation.</w:t>
      </w:r>
    </w:p>
    <w:p w14:paraId="3865A8BB" w14:textId="18629476" w:rsidR="00D4580E" w:rsidRPr="00B71E43" w:rsidRDefault="00B71E43" w:rsidP="00B71E43">
      <w:pPr>
        <w:spacing w:after="120" w:line="240" w:lineRule="auto"/>
        <w:rPr>
          <w:sz w:val="24"/>
        </w:rPr>
      </w:pPr>
      <w:r w:rsidRPr="00B34F55">
        <w:rPr>
          <w:sz w:val="24"/>
          <w:szCs w:val="22"/>
        </w:rPr>
        <w:t xml:space="preserve">Stephanie </w:t>
      </w:r>
      <w:proofErr w:type="spellStart"/>
      <w:r w:rsidRPr="00B34F55">
        <w:rPr>
          <w:sz w:val="24"/>
          <w:szCs w:val="22"/>
        </w:rPr>
        <w:t>Woerner</w:t>
      </w:r>
      <w:proofErr w:type="spellEnd"/>
      <w:r>
        <w:rPr>
          <w:sz w:val="24"/>
          <w:szCs w:val="22"/>
        </w:rPr>
        <w:t xml:space="preserve">: </w:t>
      </w:r>
      <w:r w:rsidR="00D4580E" w:rsidRPr="00B71E43">
        <w:rPr>
          <w:sz w:val="24"/>
        </w:rPr>
        <w:t xml:space="preserve">Hi, I’m Stephanie </w:t>
      </w:r>
      <w:proofErr w:type="spellStart"/>
      <w:r w:rsidR="00D4580E" w:rsidRPr="00B71E43">
        <w:rPr>
          <w:sz w:val="24"/>
        </w:rPr>
        <w:t>Woerner</w:t>
      </w:r>
      <w:proofErr w:type="spellEnd"/>
      <w:r w:rsidR="00D4580E" w:rsidRPr="00B71E43">
        <w:rPr>
          <w:sz w:val="24"/>
        </w:rPr>
        <w:t xml:space="preserve">, principal research scientist and director of MIT CISR. Today I’m pleased to share with you a research briefing from the archives—the </w:t>
      </w:r>
      <w:r w:rsidR="00F80465" w:rsidRPr="00B71E43">
        <w:rPr>
          <w:sz w:val="24"/>
        </w:rPr>
        <w:t>August 2018</w:t>
      </w:r>
      <w:r w:rsidR="00D4580E" w:rsidRPr="00B71E43">
        <w:rPr>
          <w:sz w:val="24"/>
        </w:rPr>
        <w:t xml:space="preserve"> research briefing that I co-authored with Peter Weill</w:t>
      </w:r>
      <w:r w:rsidR="00F80465" w:rsidRPr="00B71E43">
        <w:rPr>
          <w:sz w:val="24"/>
        </w:rPr>
        <w:t xml:space="preserve"> and Nick van der </w:t>
      </w:r>
      <w:proofErr w:type="spellStart"/>
      <w:r w:rsidR="00F80465" w:rsidRPr="00B71E43">
        <w:rPr>
          <w:sz w:val="24"/>
        </w:rPr>
        <w:t>Meulen</w:t>
      </w:r>
      <w:proofErr w:type="spellEnd"/>
      <w:r w:rsidR="00E26F75" w:rsidRPr="00B71E43">
        <w:rPr>
          <w:sz w:val="24"/>
        </w:rPr>
        <w:t>:</w:t>
      </w:r>
    </w:p>
    <w:p w14:paraId="3302D365" w14:textId="57E40AEF" w:rsidR="00D4580E" w:rsidRPr="00B71E43" w:rsidRDefault="006A127F" w:rsidP="00B71E43">
      <w:pPr>
        <w:spacing w:after="120" w:line="240" w:lineRule="auto"/>
        <w:rPr>
          <w:sz w:val="24"/>
        </w:rPr>
      </w:pPr>
      <w:r w:rsidRPr="00B71E43">
        <w:rPr>
          <w:sz w:val="24"/>
        </w:rPr>
        <w:t>Becoming Future Ready Requires O</w:t>
      </w:r>
      <w:r w:rsidRPr="00B71E43">
        <w:rPr>
          <w:sz w:val="24"/>
        </w:rPr>
        <w:t>r</w:t>
      </w:r>
      <w:r w:rsidRPr="00B71E43">
        <w:rPr>
          <w:sz w:val="24"/>
        </w:rPr>
        <w:t>ganizational Explosions</w:t>
      </w:r>
    </w:p>
    <w:bookmarkEnd w:id="0"/>
    <w:p w14:paraId="747F9358" w14:textId="77777777" w:rsidR="006A127F" w:rsidRPr="00B71E43" w:rsidRDefault="006A127F" w:rsidP="00B71E43">
      <w:pPr>
        <w:spacing w:after="120" w:line="240" w:lineRule="auto"/>
        <w:rPr>
          <w:sz w:val="24"/>
        </w:rPr>
      </w:pPr>
      <w:r w:rsidRPr="00B71E43">
        <w:rPr>
          <w:sz w:val="24"/>
        </w:rPr>
        <w:t xml:space="preserve">Many companies plan to achieve breakthrough performance via digitally enabled business transformation. They are now in the middle of the hard work of execution—implementing the difficult organizational changes needed to succeed. We call these changes “organizational explosions” because that’s what they feel like; they are significant, disruptive changes that affect most of a company’s customers, employees, and partners. </w:t>
      </w:r>
    </w:p>
    <w:p w14:paraId="5D447B12" w14:textId="6CCEAE09" w:rsidR="006A127F" w:rsidRPr="00B71E43" w:rsidRDefault="006A127F" w:rsidP="00B71E43">
      <w:pPr>
        <w:spacing w:after="120" w:line="240" w:lineRule="auto"/>
        <w:rPr>
          <w:sz w:val="24"/>
        </w:rPr>
      </w:pPr>
      <w:r w:rsidRPr="00B71E43">
        <w:rPr>
          <w:sz w:val="24"/>
        </w:rPr>
        <w:t>In this briefing we share insights from the digital transformation journeys</w:t>
      </w:r>
      <w:r w:rsidRPr="00B71E43" w:rsidDel="005B46B7">
        <w:rPr>
          <w:sz w:val="24"/>
        </w:rPr>
        <w:t xml:space="preserve"> </w:t>
      </w:r>
      <w:r w:rsidRPr="00B71E43">
        <w:rPr>
          <w:sz w:val="24"/>
        </w:rPr>
        <w:t xml:space="preserve">of 216 companies. When we grouped these companies by whether they had completed more or less than 50% of their journey, we saw impressive differences in performance: Companies whose transformation was at least 50% complete had 32% higher net margins and 67% higher revenue growth than companies whose transformation was less than 50% complete. </w:t>
      </w:r>
    </w:p>
    <w:p w14:paraId="27325528" w14:textId="77777777" w:rsidR="006A127F" w:rsidRPr="00B71E43" w:rsidRDefault="006A127F" w:rsidP="00B71E43">
      <w:pPr>
        <w:spacing w:after="120" w:line="240" w:lineRule="auto"/>
        <w:rPr>
          <w:sz w:val="24"/>
        </w:rPr>
      </w:pPr>
      <w:r w:rsidRPr="00B71E43">
        <w:rPr>
          <w:sz w:val="24"/>
        </w:rPr>
        <w:t>Achieving breakthrough performance is not easy and typically requires four types of controlled organizational explosions. To ensure the explosions create—rather than destroy—value, they need to be carefully designed, and their impacts anticipated and managed.</w:t>
      </w:r>
    </w:p>
    <w:p w14:paraId="50F99D6C" w14:textId="77777777" w:rsidR="006A127F" w:rsidRPr="00B71E43" w:rsidRDefault="006A127F" w:rsidP="00B71E43">
      <w:pPr>
        <w:spacing w:after="120" w:line="240" w:lineRule="auto"/>
        <w:rPr>
          <w:sz w:val="24"/>
        </w:rPr>
      </w:pPr>
      <w:r w:rsidRPr="00B71E43">
        <w:rPr>
          <w:sz w:val="24"/>
        </w:rPr>
        <w:t>The Four Pathways to Digital Business Transformation</w:t>
      </w:r>
    </w:p>
    <w:p w14:paraId="1319136D" w14:textId="58445411" w:rsidR="006A127F" w:rsidRPr="00B71E43" w:rsidRDefault="006A127F" w:rsidP="00B71E43">
      <w:pPr>
        <w:spacing w:after="120" w:line="240" w:lineRule="auto"/>
        <w:rPr>
          <w:sz w:val="24"/>
        </w:rPr>
      </w:pPr>
      <w:r w:rsidRPr="00B71E43">
        <w:rPr>
          <w:sz w:val="24"/>
        </w:rPr>
        <w:t>In the MIT CISR September 2017 research briefing</w:t>
      </w:r>
      <w:r w:rsidR="00F04393" w:rsidRPr="00B71E43">
        <w:rPr>
          <w:sz w:val="24"/>
        </w:rPr>
        <w:t xml:space="preserve"> </w:t>
      </w:r>
      <w:r w:rsidRPr="00B71E43">
        <w:rPr>
          <w:sz w:val="24"/>
        </w:rPr>
        <w:t xml:space="preserve">we identified that becoming Future Ready requires a company to transform on two dimensions: customer experience and operational efficiency. The goal is to become ambidextrous—to engage and delight customers and simultaneously reduce costs—using digital capabilities. </w:t>
      </w:r>
      <w:r w:rsidR="00943766" w:rsidRPr="00B71E43">
        <w:rPr>
          <w:sz w:val="24"/>
        </w:rPr>
        <w:t>The two dimensions produce a</w:t>
      </w:r>
      <w:r w:rsidRPr="00B71E43">
        <w:rPr>
          <w:sz w:val="24"/>
        </w:rPr>
        <w:t xml:space="preserve"> framework</w:t>
      </w:r>
      <w:r w:rsidR="00943766" w:rsidRPr="00B71E43">
        <w:rPr>
          <w:sz w:val="24"/>
        </w:rPr>
        <w:t>, which we overlay with</w:t>
      </w:r>
      <w:r w:rsidRPr="00B71E43">
        <w:rPr>
          <w:sz w:val="24"/>
        </w:rPr>
        <w:t xml:space="preserve"> the four pathways for the journey. Most companies begin their journeys in the lower left Silos and Spaghetti quadrant of the model, then adopt one or more of the four pathways. </w:t>
      </w:r>
    </w:p>
    <w:p w14:paraId="440AF23F" w14:textId="58E96C8A" w:rsidR="006A127F" w:rsidRPr="00B71E43" w:rsidRDefault="006A127F" w:rsidP="00B71E43">
      <w:pPr>
        <w:spacing w:after="120" w:line="240" w:lineRule="auto"/>
        <w:rPr>
          <w:sz w:val="24"/>
        </w:rPr>
      </w:pPr>
      <w:r w:rsidRPr="00B71E43">
        <w:rPr>
          <w:sz w:val="24"/>
        </w:rPr>
        <w:t xml:space="preserve">A company’s senior management chooses a pathway based on the company’s competitive positioning—in particular, the quality of the company’s current customer experience, and its efficiency relative to competitors. Companies trailing on customer experience need first to move up on the 2x2, while those operating less efficiently need </w:t>
      </w:r>
      <w:r w:rsidR="005542F4" w:rsidRPr="00B71E43">
        <w:rPr>
          <w:sz w:val="24"/>
        </w:rPr>
        <w:t xml:space="preserve">to </w:t>
      </w:r>
      <w:r w:rsidRPr="00B71E43">
        <w:rPr>
          <w:sz w:val="24"/>
        </w:rPr>
        <w:t>first move right.</w:t>
      </w:r>
    </w:p>
    <w:p w14:paraId="72FC36D2" w14:textId="3ED4E22D" w:rsidR="006A127F" w:rsidRPr="00B71E43" w:rsidRDefault="006A127F" w:rsidP="00B71E43">
      <w:pPr>
        <w:spacing w:after="120" w:line="240" w:lineRule="auto"/>
        <w:rPr>
          <w:sz w:val="24"/>
        </w:rPr>
      </w:pPr>
      <w:r w:rsidRPr="00B71E43">
        <w:rPr>
          <w:sz w:val="24"/>
        </w:rPr>
        <w:t>The good news is that all four pathways lead to success; the more of the journey a company reports it has completed, the better the benefit. But each pathway yields different results on net margin and revenue growth relative to competitors. For example, Pathway 1 on average yields the best performance on net margin relative to competitors</w:t>
      </w:r>
      <w:r w:rsidR="00943766" w:rsidRPr="00B71E43">
        <w:rPr>
          <w:sz w:val="24"/>
        </w:rPr>
        <w:t xml:space="preserve">, with </w:t>
      </w:r>
      <w:r w:rsidRPr="00B71E43">
        <w:rPr>
          <w:sz w:val="24"/>
        </w:rPr>
        <w:t xml:space="preserve">the other three pathways </w:t>
      </w:r>
      <w:r w:rsidR="00943766" w:rsidRPr="00B71E43">
        <w:rPr>
          <w:sz w:val="24"/>
        </w:rPr>
        <w:t>trailing</w:t>
      </w:r>
      <w:r w:rsidRPr="00B71E43">
        <w:rPr>
          <w:sz w:val="24"/>
        </w:rPr>
        <w:t xml:space="preserve">. Similarly, Pathway 2 yields the best relative performance on revenue growth. </w:t>
      </w:r>
    </w:p>
    <w:p w14:paraId="50D0119F" w14:textId="77777777" w:rsidR="006A127F" w:rsidRPr="00B71E43" w:rsidRDefault="006A127F" w:rsidP="00B71E43">
      <w:pPr>
        <w:spacing w:after="120" w:line="240" w:lineRule="auto"/>
        <w:rPr>
          <w:sz w:val="24"/>
        </w:rPr>
      </w:pPr>
      <w:r w:rsidRPr="00B71E43">
        <w:rPr>
          <w:sz w:val="24"/>
        </w:rPr>
        <w:t>The Four Types of Organizational Explosions</w:t>
      </w:r>
    </w:p>
    <w:p w14:paraId="5940D9DA" w14:textId="5CBC51F8" w:rsidR="006A127F" w:rsidRPr="00B71E43" w:rsidRDefault="006A127F" w:rsidP="00B71E43">
      <w:pPr>
        <w:spacing w:after="120" w:line="240" w:lineRule="auto"/>
        <w:rPr>
          <w:sz w:val="24"/>
        </w:rPr>
      </w:pPr>
      <w:r w:rsidRPr="00B71E43">
        <w:rPr>
          <w:sz w:val="24"/>
        </w:rPr>
        <w:lastRenderedPageBreak/>
        <w:t>To achieve such remarkable improvements in performance, the companies we studied had to design and control four types of organizational explosions</w:t>
      </w:r>
      <w:r w:rsidR="00943766" w:rsidRPr="00B71E43">
        <w:rPr>
          <w:sz w:val="24"/>
        </w:rPr>
        <w:t>.</w:t>
      </w:r>
    </w:p>
    <w:p w14:paraId="27F258EA" w14:textId="2F9BB0D1" w:rsidR="006A127F" w:rsidRPr="00B71E43" w:rsidRDefault="00943766" w:rsidP="00B71E43">
      <w:pPr>
        <w:spacing w:after="120" w:line="240" w:lineRule="auto"/>
        <w:rPr>
          <w:sz w:val="24"/>
        </w:rPr>
      </w:pPr>
      <w:r w:rsidRPr="00B71E43">
        <w:rPr>
          <w:sz w:val="24"/>
        </w:rPr>
        <w:t xml:space="preserve">One, </w:t>
      </w:r>
      <w:r w:rsidR="006A127F" w:rsidRPr="00B71E43">
        <w:rPr>
          <w:sz w:val="24"/>
        </w:rPr>
        <w:t>Decision Rights</w:t>
      </w:r>
      <w:r w:rsidRPr="00B71E43">
        <w:rPr>
          <w:sz w:val="24"/>
        </w:rPr>
        <w:t xml:space="preserve">. </w:t>
      </w:r>
      <w:r w:rsidR="006A127F" w:rsidRPr="00B71E43">
        <w:rPr>
          <w:sz w:val="24"/>
        </w:rPr>
        <w:t xml:space="preserve">Transformations </w:t>
      </w:r>
      <w:r w:rsidR="000407E8" w:rsidRPr="00B71E43">
        <w:rPr>
          <w:sz w:val="24"/>
        </w:rPr>
        <w:t xml:space="preserve">from this explosion </w:t>
      </w:r>
      <w:r w:rsidR="006A127F" w:rsidRPr="00B71E43">
        <w:rPr>
          <w:sz w:val="24"/>
        </w:rPr>
        <w:t>change the status quo of who makes and is accountable for key decisions, such as when a process is formally changed, which projects receive funding, and which products are discontinued and launched.</w:t>
      </w:r>
    </w:p>
    <w:p w14:paraId="1749BEE2" w14:textId="02DB0C1C" w:rsidR="006A127F" w:rsidRPr="00B71E43" w:rsidRDefault="000407E8" w:rsidP="00B71E43">
      <w:pPr>
        <w:spacing w:after="120" w:line="240" w:lineRule="auto"/>
        <w:rPr>
          <w:sz w:val="24"/>
        </w:rPr>
      </w:pPr>
      <w:r w:rsidRPr="00B71E43">
        <w:rPr>
          <w:sz w:val="24"/>
        </w:rPr>
        <w:t xml:space="preserve">Two, </w:t>
      </w:r>
      <w:r w:rsidR="006A127F" w:rsidRPr="00B71E43">
        <w:rPr>
          <w:sz w:val="24"/>
        </w:rPr>
        <w:t>New Ways of Working</w:t>
      </w:r>
      <w:r w:rsidRPr="00B71E43">
        <w:rPr>
          <w:sz w:val="24"/>
        </w:rPr>
        <w:t>.</w:t>
      </w:r>
      <w:r w:rsidR="006A127F" w:rsidRPr="00B71E43">
        <w:rPr>
          <w:sz w:val="24"/>
        </w:rPr>
        <w:t xml:space="preserve"> Successful transformation requires very different ways of working, such as cross-functional teams that use agile methodologies, particularly for new customer offerings; new partnerships that speed time to market; evidence-based decision making; test-and-learn experimentation; and co-creation with customers. </w:t>
      </w:r>
    </w:p>
    <w:p w14:paraId="032CAE96" w14:textId="286C3AE8" w:rsidR="006A127F" w:rsidRPr="00B71E43" w:rsidRDefault="000407E8" w:rsidP="00B71E43">
      <w:pPr>
        <w:spacing w:after="120" w:line="240" w:lineRule="auto"/>
        <w:rPr>
          <w:sz w:val="24"/>
        </w:rPr>
      </w:pPr>
      <w:r w:rsidRPr="00B71E43">
        <w:rPr>
          <w:sz w:val="24"/>
        </w:rPr>
        <w:t xml:space="preserve">Three, </w:t>
      </w:r>
      <w:r w:rsidR="006A127F" w:rsidRPr="00B71E43">
        <w:rPr>
          <w:sz w:val="24"/>
        </w:rPr>
        <w:t>Platform Mindset</w:t>
      </w:r>
      <w:r w:rsidRPr="00B71E43">
        <w:rPr>
          <w:sz w:val="24"/>
        </w:rPr>
        <w:t>.</w:t>
      </w:r>
      <w:r w:rsidR="006A127F" w:rsidRPr="00B71E43">
        <w:rPr>
          <w:sz w:val="24"/>
        </w:rPr>
        <w:t xml:space="preserve"> Becoming Future Ready requires taking a lesson from platform companies like Amazon and WeChat. There is a platform mindset—an understanding, with supporting actions, that creating reusable platforms (</w:t>
      </w:r>
      <w:r w:rsidRPr="00B71E43">
        <w:rPr>
          <w:sz w:val="24"/>
        </w:rPr>
        <w:t xml:space="preserve">those </w:t>
      </w:r>
      <w:r w:rsidR="006A127F" w:rsidRPr="00B71E43">
        <w:rPr>
          <w:sz w:val="24"/>
        </w:rPr>
        <w:t xml:space="preserve">having processes that are modular, service-enabled, and/or automated) allows a company to take capabilities that make it great and provide them as digital services. </w:t>
      </w:r>
    </w:p>
    <w:p w14:paraId="643252BC" w14:textId="7364830D" w:rsidR="006A127F" w:rsidRPr="00B71E43" w:rsidRDefault="000407E8" w:rsidP="00B71E43">
      <w:pPr>
        <w:spacing w:after="120" w:line="240" w:lineRule="auto"/>
        <w:rPr>
          <w:sz w:val="24"/>
        </w:rPr>
      </w:pPr>
      <w:r w:rsidRPr="00B71E43">
        <w:rPr>
          <w:sz w:val="24"/>
        </w:rPr>
        <w:t xml:space="preserve">And four, </w:t>
      </w:r>
      <w:r w:rsidR="006A127F" w:rsidRPr="00B71E43">
        <w:rPr>
          <w:sz w:val="24"/>
        </w:rPr>
        <w:t>Organizational Surgery</w:t>
      </w:r>
      <w:r w:rsidRPr="00B71E43">
        <w:rPr>
          <w:sz w:val="24"/>
        </w:rPr>
        <w:t>.</w:t>
      </w:r>
      <w:r w:rsidR="006A127F" w:rsidRPr="00B71E43">
        <w:rPr>
          <w:sz w:val="24"/>
        </w:rPr>
        <w:t xml:space="preserve"> Also known as restructuring, this explosion improves both the customer experience and operational efficiency in the typical company not designed for the digital era. For example, BBVA combined operations, IT, marketing</w:t>
      </w:r>
      <w:r w:rsidRPr="00B71E43">
        <w:rPr>
          <w:sz w:val="24"/>
        </w:rPr>
        <w:t xml:space="preserve"> and </w:t>
      </w:r>
      <w:r w:rsidR="006A127F" w:rsidRPr="00B71E43">
        <w:rPr>
          <w:sz w:val="24"/>
        </w:rPr>
        <w:t xml:space="preserve">sales, and some products into a single organizational group that provided digital banking services across the entire company and fundamentally changed the role of branches. </w:t>
      </w:r>
    </w:p>
    <w:p w14:paraId="799CD082" w14:textId="77777777" w:rsidR="006A127F" w:rsidRPr="00B71E43" w:rsidRDefault="006A127F" w:rsidP="00B71E43">
      <w:pPr>
        <w:spacing w:after="120" w:line="240" w:lineRule="auto"/>
        <w:rPr>
          <w:sz w:val="24"/>
        </w:rPr>
      </w:pPr>
      <w:r w:rsidRPr="00B71E43">
        <w:rPr>
          <w:sz w:val="24"/>
        </w:rPr>
        <w:t>KPN’s Journey Through the Four Explosions</w:t>
      </w:r>
    </w:p>
    <w:p w14:paraId="0FF816BF" w14:textId="720479E3" w:rsidR="006A127F" w:rsidRPr="00B71E43" w:rsidRDefault="006A127F" w:rsidP="00B71E43">
      <w:pPr>
        <w:spacing w:after="120" w:line="240" w:lineRule="auto"/>
        <w:rPr>
          <w:sz w:val="24"/>
        </w:rPr>
      </w:pPr>
      <w:r w:rsidRPr="00B71E43">
        <w:rPr>
          <w:sz w:val="24"/>
        </w:rPr>
        <w:t xml:space="preserve">KPN is a leading provider of telecom services in The Netherlands, serving consumers and businesses with products that include fixed line, mobile, and broadband connectivity, television, and cloud services. As the Dutch market leader in mobile telephony, KPN has over 5.5 million customers and employs over 13,000 </w:t>
      </w:r>
      <w:r w:rsidR="000407E8" w:rsidRPr="00B71E43">
        <w:rPr>
          <w:sz w:val="24"/>
        </w:rPr>
        <w:t>full-time equivalents</w:t>
      </w:r>
      <w:r w:rsidRPr="00B71E43">
        <w:rPr>
          <w:sz w:val="24"/>
        </w:rPr>
        <w:t>.</w:t>
      </w:r>
    </w:p>
    <w:p w14:paraId="3B8D591B" w14:textId="30C4F685" w:rsidR="006A127F" w:rsidRPr="00B71E43" w:rsidRDefault="006A127F" w:rsidP="00B71E43">
      <w:pPr>
        <w:spacing w:after="120" w:line="240" w:lineRule="auto"/>
        <w:rPr>
          <w:sz w:val="24"/>
        </w:rPr>
      </w:pPr>
      <w:r w:rsidRPr="00B71E43">
        <w:rPr>
          <w:sz w:val="24"/>
        </w:rPr>
        <w:t>KPN began its transformation to becoming Future Ready in 2013 while under significant financial strain. Strong competition had reduced prices in saturated markets, regulations capped termination and roaming fees, and over the top companies such as Skype, Spotify, and Netflix had eroded legacy revenue streams while heavily burdening network capacity. To remain competitive, KPN needed to radically improve both its operational efficiency and its customer experience nearly simultaneously, making Pathway 3 the only viable option.</w:t>
      </w:r>
    </w:p>
    <w:p w14:paraId="38A031BB" w14:textId="12DA539A" w:rsidR="006A127F" w:rsidRPr="00B71E43" w:rsidRDefault="006A127F" w:rsidP="00B71E43">
      <w:pPr>
        <w:spacing w:after="120" w:line="240" w:lineRule="auto"/>
        <w:rPr>
          <w:sz w:val="24"/>
        </w:rPr>
      </w:pPr>
      <w:r w:rsidRPr="00B71E43">
        <w:rPr>
          <w:sz w:val="24"/>
        </w:rPr>
        <w:t xml:space="preserve">At the start of the company’s transformation, a few customer experience initiatives—such as creating a single identity for digital </w:t>
      </w:r>
      <w:r w:rsidR="000407E8" w:rsidRPr="00B71E43">
        <w:rPr>
          <w:sz w:val="24"/>
        </w:rPr>
        <w:t>services and</w:t>
      </w:r>
      <w:r w:rsidRPr="00B71E43">
        <w:rPr>
          <w:sz w:val="24"/>
        </w:rPr>
        <w:t xml:space="preserve"> improving the order capture process—seemed especially promising, with large potential returns. Unfortunately, KPN’s distributed (and mostly outsourced) IT capabilities restricted it from immediately executing on these initiatives. Before it could pursue a better customer experience, the company had to improve its operational foundation—to first move right on pathway 3 before moving up. Here’s how KPN has navigated the four types of organizational explosions along its journey. </w:t>
      </w:r>
    </w:p>
    <w:p w14:paraId="74A0B35D" w14:textId="77777777" w:rsidR="006A127F" w:rsidRPr="00B71E43" w:rsidRDefault="006A127F" w:rsidP="00B71E43">
      <w:pPr>
        <w:spacing w:after="120" w:line="240" w:lineRule="auto"/>
        <w:rPr>
          <w:sz w:val="24"/>
        </w:rPr>
      </w:pPr>
      <w:r w:rsidRPr="00B71E43">
        <w:rPr>
          <w:sz w:val="24"/>
        </w:rPr>
        <w:t>Decision Rights</w:t>
      </w:r>
    </w:p>
    <w:p w14:paraId="540DEE38" w14:textId="3291C8A3" w:rsidR="006A127F" w:rsidRPr="00B71E43" w:rsidRDefault="006A127F" w:rsidP="00B71E43">
      <w:pPr>
        <w:spacing w:after="120" w:line="240" w:lineRule="auto"/>
        <w:rPr>
          <w:sz w:val="24"/>
        </w:rPr>
      </w:pPr>
      <w:proofErr w:type="spellStart"/>
      <w:r w:rsidRPr="00B71E43">
        <w:rPr>
          <w:sz w:val="24"/>
        </w:rPr>
        <w:t>Bouke</w:t>
      </w:r>
      <w:proofErr w:type="spellEnd"/>
      <w:r w:rsidRPr="00B71E43">
        <w:rPr>
          <w:sz w:val="24"/>
        </w:rPr>
        <w:t xml:space="preserve"> </w:t>
      </w:r>
      <w:proofErr w:type="spellStart"/>
      <w:r w:rsidRPr="00B71E43">
        <w:rPr>
          <w:sz w:val="24"/>
        </w:rPr>
        <w:t>Hoving</w:t>
      </w:r>
      <w:proofErr w:type="spellEnd"/>
      <w:r w:rsidRPr="00B71E43">
        <w:rPr>
          <w:sz w:val="24"/>
        </w:rPr>
        <w:t>, KPN’s CIO, began by obtaining a mandate from the CEO to form a transformation unit called Simplification and Innovation (</w:t>
      </w:r>
      <w:r w:rsidR="000407E8" w:rsidRPr="00B71E43">
        <w:rPr>
          <w:sz w:val="24"/>
        </w:rPr>
        <w:t xml:space="preserve">or </w:t>
      </w:r>
      <w:r w:rsidRPr="00B71E43">
        <w:rPr>
          <w:sz w:val="24"/>
        </w:rPr>
        <w:t xml:space="preserve">S&amp;I). This unit centralized all business process </w:t>
      </w:r>
      <w:r w:rsidRPr="00B71E43">
        <w:rPr>
          <w:sz w:val="24"/>
        </w:rPr>
        <w:lastRenderedPageBreak/>
        <w:t>redesign, IT architecture, and IT development capabilities—requiring that all commercial business unit directors give up individual change capacity. S&amp;I then put a hold on all siloed back-end transformations to focus on the most promising customer experience initiatives.</w:t>
      </w:r>
    </w:p>
    <w:p w14:paraId="3578C8B7" w14:textId="77777777" w:rsidR="006A127F" w:rsidRPr="00B71E43" w:rsidRDefault="006A127F" w:rsidP="00B71E43">
      <w:pPr>
        <w:spacing w:after="120" w:line="240" w:lineRule="auto"/>
        <w:rPr>
          <w:sz w:val="24"/>
        </w:rPr>
      </w:pPr>
      <w:r w:rsidRPr="00B71E43">
        <w:rPr>
          <w:sz w:val="24"/>
        </w:rPr>
        <w:t>New Ways of Working</w:t>
      </w:r>
    </w:p>
    <w:p w14:paraId="75B8DD4F" w14:textId="77777777" w:rsidR="006A127F" w:rsidRPr="00B71E43" w:rsidRDefault="006A127F" w:rsidP="00B71E43">
      <w:pPr>
        <w:spacing w:after="120" w:line="240" w:lineRule="auto"/>
        <w:rPr>
          <w:sz w:val="24"/>
        </w:rPr>
      </w:pPr>
      <w:r w:rsidRPr="00B71E43">
        <w:rPr>
          <w:sz w:val="24"/>
        </w:rPr>
        <w:t xml:space="preserve">Developers and designers were re-insourced to energize innovation and bring IT development closer to the business. To attract the best digital talent, S&amp;I had to adopt a more agile way of working and shift from traditional processing systems to open source and cloud-based environments. Embedding these agile practices within existing corporate governance proved challenging, as KPN’s </w:t>
      </w:r>
      <w:proofErr w:type="gramStart"/>
      <w:r w:rsidRPr="00B71E43">
        <w:rPr>
          <w:sz w:val="24"/>
        </w:rPr>
        <w:t>reporting</w:t>
      </w:r>
      <w:proofErr w:type="gramEnd"/>
      <w:r w:rsidRPr="00B71E43">
        <w:rPr>
          <w:sz w:val="24"/>
        </w:rPr>
        <w:t xml:space="preserve"> and management mechanisms did not map to the new way of working in S&amp;I. “Proxies” were therefore appointed: individuals that maintained short communication lines with the rest of the company and ensured that S&amp;I adhered to KPN’s standard reporting requirements. This eliminated unnecessary overhead for the agile teams, and also allowed them to learn (without fear of negative performance evaluations) from any mistakes occurring during the agile development process.</w:t>
      </w:r>
    </w:p>
    <w:p w14:paraId="500F0ED1" w14:textId="0626CED2" w:rsidR="006A127F" w:rsidRPr="00B71E43" w:rsidRDefault="000407E8" w:rsidP="00B71E43">
      <w:pPr>
        <w:spacing w:after="120" w:line="240" w:lineRule="auto"/>
        <w:rPr>
          <w:sz w:val="24"/>
        </w:rPr>
      </w:pPr>
      <w:r w:rsidRPr="00B71E43">
        <w:rPr>
          <w:sz w:val="24"/>
        </w:rPr>
        <w:t xml:space="preserve">As KPN CIO </w:t>
      </w:r>
      <w:proofErr w:type="spellStart"/>
      <w:r w:rsidRPr="00B71E43">
        <w:rPr>
          <w:sz w:val="24"/>
        </w:rPr>
        <w:t>Hoving</w:t>
      </w:r>
      <w:proofErr w:type="spellEnd"/>
      <w:r w:rsidRPr="00B71E43">
        <w:rPr>
          <w:sz w:val="24"/>
        </w:rPr>
        <w:t xml:space="preserve"> said, “</w:t>
      </w:r>
      <w:r w:rsidR="006A127F" w:rsidRPr="00B71E43">
        <w:rPr>
          <w:sz w:val="24"/>
        </w:rPr>
        <w:t>The biggest explosion was our internal target to cancel all the steering committees, KPI spreadsheets, internal management letters, management layers, and also the corporate appraisal system—which were all big inhibitors for our staff.</w:t>
      </w:r>
      <w:r w:rsidRPr="00B71E43">
        <w:rPr>
          <w:sz w:val="24"/>
        </w:rPr>
        <w:t>”</w:t>
      </w:r>
    </w:p>
    <w:p w14:paraId="6CB85026" w14:textId="77777777" w:rsidR="006A127F" w:rsidRPr="00B71E43" w:rsidRDefault="006A127F" w:rsidP="00B71E43">
      <w:pPr>
        <w:spacing w:after="120" w:line="240" w:lineRule="auto"/>
        <w:rPr>
          <w:sz w:val="24"/>
        </w:rPr>
      </w:pPr>
      <w:r w:rsidRPr="00B71E43">
        <w:rPr>
          <w:sz w:val="24"/>
        </w:rPr>
        <w:t>Platform Mindset</w:t>
      </w:r>
    </w:p>
    <w:p w14:paraId="75E7B50B" w14:textId="77777777" w:rsidR="006A127F" w:rsidRPr="00B71E43" w:rsidRDefault="006A127F" w:rsidP="00B71E43">
      <w:pPr>
        <w:spacing w:after="120" w:line="240" w:lineRule="auto"/>
        <w:rPr>
          <w:sz w:val="24"/>
        </w:rPr>
      </w:pPr>
      <w:r w:rsidRPr="00B71E43">
        <w:rPr>
          <w:sz w:val="24"/>
        </w:rPr>
        <w:t xml:space="preserve">KPN decommissioned 25% of its systems as it replaced virtually every legacy platform and phased out traditional software for open source and cloud-based environments. Early in the transformation, S&amp;I’s agile teams developed a “digital engine” that enabled API access to more than three hundred legacy services from KPN’s frozen back-end, allowing developers to quickly execute on customer-facing initiatives. For instance, this combination of the company’s new ways of working and a platform mindset reduced the in-store order capture time for its popular quad play bundle of services from thirty to just three minutes. </w:t>
      </w:r>
    </w:p>
    <w:p w14:paraId="55194EC5" w14:textId="77777777" w:rsidR="006A127F" w:rsidRPr="00B71E43" w:rsidRDefault="006A127F" w:rsidP="00B71E43">
      <w:pPr>
        <w:spacing w:after="120" w:line="240" w:lineRule="auto"/>
        <w:rPr>
          <w:sz w:val="24"/>
        </w:rPr>
      </w:pPr>
      <w:r w:rsidRPr="00B71E43">
        <w:rPr>
          <w:sz w:val="24"/>
        </w:rPr>
        <w:t>The goal was for S&amp;I to show results early and often, keeping transformation momentum. Only after initial improvements to customer experience had been made did S&amp;I set its sights on a greenfield transformation of its back-end systems and improving its APIs—thereby enabling a second wave of customer experience improvements.</w:t>
      </w:r>
    </w:p>
    <w:p w14:paraId="46EFCB6F" w14:textId="77777777" w:rsidR="006A127F" w:rsidRPr="00B71E43" w:rsidRDefault="006A127F" w:rsidP="00B71E43">
      <w:pPr>
        <w:spacing w:after="120" w:line="240" w:lineRule="auto"/>
        <w:rPr>
          <w:sz w:val="24"/>
        </w:rPr>
      </w:pPr>
      <w:r w:rsidRPr="00B71E43">
        <w:rPr>
          <w:sz w:val="24"/>
        </w:rPr>
        <w:t>Organizational Surgery</w:t>
      </w:r>
    </w:p>
    <w:p w14:paraId="785C426E" w14:textId="77777777" w:rsidR="006A127F" w:rsidRPr="00B71E43" w:rsidRDefault="006A127F" w:rsidP="00B71E43">
      <w:pPr>
        <w:spacing w:after="120" w:line="240" w:lineRule="auto"/>
        <w:rPr>
          <w:sz w:val="24"/>
        </w:rPr>
      </w:pPr>
      <w:r w:rsidRPr="00B71E43">
        <w:rPr>
          <w:sz w:val="24"/>
        </w:rPr>
        <w:t>Before KPN migrated customers to its new back-end systems, S&amp;I cooperated with commercial teams to rationalize KPN’s product portfolio. Around 80% of offerings were cut from the portfolio, and processes for the remaining products were harmonized. This simplification effort helped to collapse internal silos and solidified the company’s change of focus from products to the customer.</w:t>
      </w:r>
    </w:p>
    <w:p w14:paraId="066D5F64" w14:textId="5101228F" w:rsidR="006A127F" w:rsidRPr="00B71E43" w:rsidRDefault="006A127F" w:rsidP="00B71E43">
      <w:pPr>
        <w:spacing w:after="120" w:line="240" w:lineRule="auto"/>
        <w:rPr>
          <w:sz w:val="24"/>
        </w:rPr>
      </w:pPr>
      <w:r w:rsidRPr="00B71E43">
        <w:rPr>
          <w:sz w:val="24"/>
        </w:rPr>
        <w:t xml:space="preserve">Success from </w:t>
      </w:r>
      <w:r w:rsidR="00555D23" w:rsidRPr="00B71E43">
        <w:rPr>
          <w:sz w:val="24"/>
        </w:rPr>
        <w:t xml:space="preserve">the </w:t>
      </w:r>
      <w:r w:rsidRPr="00B71E43">
        <w:rPr>
          <w:sz w:val="24"/>
        </w:rPr>
        <w:t xml:space="preserve">Iterative Approach </w:t>
      </w:r>
    </w:p>
    <w:p w14:paraId="2CF12252" w14:textId="07F5C107" w:rsidR="006A127F" w:rsidRPr="00B71E43" w:rsidRDefault="006A127F" w:rsidP="00B71E43">
      <w:pPr>
        <w:spacing w:after="120" w:line="240" w:lineRule="auto"/>
        <w:rPr>
          <w:sz w:val="24"/>
        </w:rPr>
      </w:pPr>
      <w:r w:rsidRPr="00B71E43">
        <w:rPr>
          <w:sz w:val="24"/>
        </w:rPr>
        <w:t xml:space="preserve">Over four years of transformation, KPN became more ambidextrous, with great results. The company has improved operational efficiency and time to market, reduced its downtime by 90%, and achieved €570 million in savings. On customer experience it saw a </w:t>
      </w:r>
      <w:r w:rsidR="00555D23" w:rsidRPr="00B71E43">
        <w:rPr>
          <w:sz w:val="24"/>
        </w:rPr>
        <w:t xml:space="preserve">Net Promoter </w:t>
      </w:r>
      <w:r w:rsidR="00555D23" w:rsidRPr="00B71E43">
        <w:rPr>
          <w:sz w:val="24"/>
        </w:rPr>
        <w:lastRenderedPageBreak/>
        <w:t xml:space="preserve">Score </w:t>
      </w:r>
      <w:r w:rsidRPr="00B71E43">
        <w:rPr>
          <w:sz w:val="24"/>
        </w:rPr>
        <w:t xml:space="preserve">improvement of 20 points, and use of its customer self-service app now outnumbers call center traffic by a factor of 2. </w:t>
      </w:r>
    </w:p>
    <w:p w14:paraId="39BE76F6" w14:textId="77777777" w:rsidR="006A127F" w:rsidRPr="00B71E43" w:rsidRDefault="006A127F" w:rsidP="00B71E43">
      <w:pPr>
        <w:spacing w:after="120" w:line="240" w:lineRule="auto"/>
        <w:rPr>
          <w:sz w:val="24"/>
        </w:rPr>
      </w:pPr>
      <w:r w:rsidRPr="00B71E43">
        <w:rPr>
          <w:sz w:val="24"/>
        </w:rPr>
        <w:t>The Challenging Path to Value</w:t>
      </w:r>
    </w:p>
    <w:p w14:paraId="5AE686AB" w14:textId="699E2358" w:rsidR="006A127F" w:rsidRPr="00B71E43" w:rsidRDefault="006A127F" w:rsidP="00B71E43">
      <w:pPr>
        <w:spacing w:after="120" w:line="240" w:lineRule="auto"/>
        <w:rPr>
          <w:sz w:val="24"/>
        </w:rPr>
      </w:pPr>
      <w:r w:rsidRPr="00B71E43">
        <w:rPr>
          <w:sz w:val="24"/>
        </w:rPr>
        <w:t>Despite a common goal among companies to become Future Ready, only 30% of the companies in our analysis have so far stayed on course and navigated the organizational explosions to reach at least 50% transformed—which is when the benefits really start to accumulate. From our work with many senior executive teams, we’ve learned that the key lesson is to first agree on which pathway(s) the company will follow and create a common language around how you will transform. The real challenge is in designing the four organizational explosions, anticipating the impacts, and managing the disruption</w:t>
      </w:r>
      <w:r w:rsidR="00BB2ADF" w:rsidRPr="00B71E43">
        <w:rPr>
          <w:sz w:val="24"/>
        </w:rPr>
        <w:t>s</w:t>
      </w:r>
      <w:r w:rsidRPr="00B71E43">
        <w:rPr>
          <w:sz w:val="24"/>
        </w:rPr>
        <w:t xml:space="preserve"> on the pathway to value.</w:t>
      </w:r>
    </w:p>
    <w:p w14:paraId="7CFD0C32" w14:textId="77777777" w:rsidR="00B71E43" w:rsidRPr="00B34F55" w:rsidRDefault="00B71E43" w:rsidP="00B71E43">
      <w:pPr>
        <w:spacing w:after="120" w:line="240" w:lineRule="auto"/>
        <w:rPr>
          <w:sz w:val="24"/>
          <w:szCs w:val="22"/>
        </w:rPr>
      </w:pPr>
      <w:r w:rsidRPr="00B34F55">
        <w:rPr>
          <w:sz w:val="24"/>
          <w:szCs w:val="22"/>
        </w:rPr>
        <w:t>Speaker 1:</w:t>
      </w:r>
      <w:r w:rsidRPr="00B34F55">
        <w:rPr>
          <w:sz w:val="24"/>
          <w:szCs w:val="22"/>
        </w:rPr>
        <w:tab/>
        <w:t>Thanks for listening to this reading of MIT CISR research, and thanks to the sponsors and patrons who support our work. Get free access to more research on our website at cisr.mit.edu.</w:t>
      </w:r>
    </w:p>
    <w:p w14:paraId="76CF64A6" w14:textId="77777777" w:rsidR="005B3920" w:rsidRPr="00B71E43" w:rsidRDefault="005B3920" w:rsidP="00B71E43">
      <w:pPr>
        <w:spacing w:after="120" w:line="240" w:lineRule="auto"/>
        <w:rPr>
          <w:sz w:val="24"/>
        </w:rPr>
      </w:pPr>
    </w:p>
    <w:sectPr w:rsidR="005B3920" w:rsidRPr="00B71E4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8A7F" w14:textId="77777777" w:rsidR="00E368F3" w:rsidRDefault="00E368F3" w:rsidP="00C04BD1">
      <w:pPr>
        <w:spacing w:after="0" w:line="240" w:lineRule="auto"/>
      </w:pPr>
      <w:r>
        <w:separator/>
      </w:r>
    </w:p>
  </w:endnote>
  <w:endnote w:type="continuationSeparator" w:id="0">
    <w:p w14:paraId="08C517F0" w14:textId="77777777" w:rsidR="00E368F3" w:rsidRDefault="00E368F3" w:rsidP="00C0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785869"/>
      <w:docPartObj>
        <w:docPartGallery w:val="Page Numbers (Bottom of Page)"/>
        <w:docPartUnique/>
      </w:docPartObj>
    </w:sdtPr>
    <w:sdtContent>
      <w:p w14:paraId="68AE95F0" w14:textId="7E2B2273" w:rsidR="00C04BD1" w:rsidRDefault="00C04BD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5FF43" w14:textId="77777777" w:rsidR="00C04BD1" w:rsidRDefault="00C04BD1" w:rsidP="00C04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085396"/>
      <w:docPartObj>
        <w:docPartGallery w:val="Page Numbers (Bottom of Page)"/>
        <w:docPartUnique/>
      </w:docPartObj>
    </w:sdtPr>
    <w:sdtContent>
      <w:p w14:paraId="0754D83D" w14:textId="09956913" w:rsidR="00C04BD1" w:rsidRDefault="00C04BD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D7E40F" w14:textId="77777777" w:rsidR="00C04BD1" w:rsidRDefault="00C04BD1" w:rsidP="00C04B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067A" w14:textId="77777777" w:rsidR="00E368F3" w:rsidRDefault="00E368F3" w:rsidP="00C04BD1">
      <w:pPr>
        <w:spacing w:after="0" w:line="240" w:lineRule="auto"/>
      </w:pPr>
      <w:r>
        <w:separator/>
      </w:r>
    </w:p>
  </w:footnote>
  <w:footnote w:type="continuationSeparator" w:id="0">
    <w:p w14:paraId="549FAA73" w14:textId="77777777" w:rsidR="00E368F3" w:rsidRDefault="00E368F3" w:rsidP="00C04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4CA"/>
    <w:multiLevelType w:val="multilevel"/>
    <w:tmpl w:val="7270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27891"/>
    <w:multiLevelType w:val="hybridMultilevel"/>
    <w:tmpl w:val="457E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B2098"/>
    <w:multiLevelType w:val="hybridMultilevel"/>
    <w:tmpl w:val="1A4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187317">
    <w:abstractNumId w:val="0"/>
  </w:num>
  <w:num w:numId="2" w16cid:durableId="1544250436">
    <w:abstractNumId w:val="2"/>
  </w:num>
  <w:num w:numId="3" w16cid:durableId="678312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3"/>
    <w:rsid w:val="000407E8"/>
    <w:rsid w:val="001868E0"/>
    <w:rsid w:val="00457AB2"/>
    <w:rsid w:val="004D5F24"/>
    <w:rsid w:val="005360F1"/>
    <w:rsid w:val="005542F4"/>
    <w:rsid w:val="00555D23"/>
    <w:rsid w:val="005B3920"/>
    <w:rsid w:val="00665389"/>
    <w:rsid w:val="006A127F"/>
    <w:rsid w:val="00776CE3"/>
    <w:rsid w:val="0086500D"/>
    <w:rsid w:val="00917E3C"/>
    <w:rsid w:val="00943766"/>
    <w:rsid w:val="00B35F07"/>
    <w:rsid w:val="00B71E43"/>
    <w:rsid w:val="00B963C3"/>
    <w:rsid w:val="00BB2ADF"/>
    <w:rsid w:val="00C04BD1"/>
    <w:rsid w:val="00D0393D"/>
    <w:rsid w:val="00D3735F"/>
    <w:rsid w:val="00D4580E"/>
    <w:rsid w:val="00E26F75"/>
    <w:rsid w:val="00E368F3"/>
    <w:rsid w:val="00F04393"/>
    <w:rsid w:val="00F80465"/>
    <w:rsid w:val="00FB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F82D3"/>
  <w15:chartTrackingRefBased/>
  <w15:docId w15:val="{35DDA398-90F6-D247-BD9D-472E2D7B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0E"/>
    <w:pPr>
      <w:spacing w:after="240" w:line="360" w:lineRule="auto"/>
    </w:pPr>
    <w:rPr>
      <w:sz w:val="28"/>
    </w:rPr>
  </w:style>
  <w:style w:type="paragraph" w:styleId="Heading1">
    <w:name w:val="heading 1"/>
    <w:basedOn w:val="Normal"/>
    <w:next w:val="Normal"/>
    <w:link w:val="Heading1Char"/>
    <w:uiPriority w:val="9"/>
    <w:qFormat/>
    <w:rsid w:val="00917E3C"/>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917E3C"/>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4">
    <w:name w:val="heading 4"/>
    <w:basedOn w:val="Normal"/>
    <w:link w:val="Heading4Char"/>
    <w:uiPriority w:val="9"/>
    <w:qFormat/>
    <w:rsid w:val="00D4580E"/>
    <w:pPr>
      <w:spacing w:before="100" w:beforeAutospacing="1" w:after="100" w:afterAutospacing="1" w:line="240" w:lineRule="auto"/>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580E"/>
    <w:rPr>
      <w:rFonts w:ascii="Times New Roman" w:eastAsia="Times New Roman" w:hAnsi="Times New Roman" w:cs="Times New Roman"/>
      <w:b/>
      <w:bCs/>
    </w:rPr>
  </w:style>
  <w:style w:type="paragraph" w:styleId="NormalWeb">
    <w:name w:val="Normal (Web)"/>
    <w:basedOn w:val="Normal"/>
    <w:uiPriority w:val="99"/>
    <w:semiHidden/>
    <w:unhideWhenUsed/>
    <w:rsid w:val="00D4580E"/>
    <w:pPr>
      <w:spacing w:before="100" w:beforeAutospacing="1" w:after="100" w:afterAutospacing="1" w:line="240" w:lineRule="auto"/>
    </w:pPr>
    <w:rPr>
      <w:rFonts w:ascii="Times New Roman" w:eastAsia="Times New Roman" w:hAnsi="Times New Roman" w:cs="Times New Roman"/>
      <w:sz w:val="24"/>
    </w:rPr>
  </w:style>
  <w:style w:type="character" w:customStyle="1" w:styleId="fn">
    <w:name w:val="fn"/>
    <w:basedOn w:val="DefaultParagraphFont"/>
    <w:rsid w:val="00D4580E"/>
  </w:style>
  <w:style w:type="character" w:styleId="Hyperlink">
    <w:name w:val="Hyperlink"/>
    <w:basedOn w:val="DefaultParagraphFont"/>
    <w:uiPriority w:val="99"/>
    <w:unhideWhenUsed/>
    <w:rsid w:val="00D4580E"/>
    <w:rPr>
      <w:color w:val="0000FF"/>
      <w:u w:val="single"/>
    </w:rPr>
  </w:style>
  <w:style w:type="character" w:customStyle="1" w:styleId="pill">
    <w:name w:val="pill"/>
    <w:basedOn w:val="DefaultParagraphFont"/>
    <w:rsid w:val="00D4580E"/>
  </w:style>
  <w:style w:type="character" w:customStyle="1" w:styleId="Heading1Char">
    <w:name w:val="Heading 1 Char"/>
    <w:basedOn w:val="DefaultParagraphFont"/>
    <w:link w:val="Heading1"/>
    <w:uiPriority w:val="9"/>
    <w:rsid w:val="00917E3C"/>
    <w:rPr>
      <w:rFonts w:asciiTheme="majorHAnsi" w:eastAsiaTheme="majorEastAsia" w:hAnsiTheme="majorHAnsi" w:cstheme="majorBidi"/>
      <w:color w:val="2F5496" w:themeColor="accent1" w:themeShade="BF"/>
      <w:sz w:val="40"/>
      <w:szCs w:val="32"/>
    </w:rPr>
  </w:style>
  <w:style w:type="character" w:customStyle="1" w:styleId="Heading2Char">
    <w:name w:val="Heading 2 Char"/>
    <w:basedOn w:val="DefaultParagraphFont"/>
    <w:link w:val="Heading2"/>
    <w:uiPriority w:val="9"/>
    <w:rsid w:val="00917E3C"/>
    <w:rPr>
      <w:rFonts w:asciiTheme="majorHAnsi" w:eastAsiaTheme="majorEastAsia" w:hAnsiTheme="majorHAnsi" w:cstheme="majorBidi"/>
      <w:color w:val="2F5496" w:themeColor="accent1" w:themeShade="BF"/>
      <w:sz w:val="32"/>
      <w:szCs w:val="26"/>
    </w:rPr>
  </w:style>
  <w:style w:type="paragraph" w:styleId="ListParagraph">
    <w:name w:val="List Paragraph"/>
    <w:basedOn w:val="Normal"/>
    <w:uiPriority w:val="34"/>
    <w:qFormat/>
    <w:rsid w:val="00917E3C"/>
    <w:pPr>
      <w:ind w:left="720"/>
      <w:contextualSpacing/>
    </w:pPr>
  </w:style>
  <w:style w:type="paragraph" w:styleId="Revision">
    <w:name w:val="Revision"/>
    <w:hidden/>
    <w:uiPriority w:val="99"/>
    <w:semiHidden/>
    <w:rsid w:val="00E26F75"/>
    <w:rPr>
      <w:sz w:val="28"/>
    </w:rPr>
  </w:style>
  <w:style w:type="character" w:styleId="UnresolvedMention">
    <w:name w:val="Unresolved Mention"/>
    <w:basedOn w:val="DefaultParagraphFont"/>
    <w:uiPriority w:val="99"/>
    <w:semiHidden/>
    <w:unhideWhenUsed/>
    <w:rsid w:val="00C04BD1"/>
    <w:rPr>
      <w:color w:val="605E5C"/>
      <w:shd w:val="clear" w:color="auto" w:fill="E1DFDD"/>
    </w:rPr>
  </w:style>
  <w:style w:type="paragraph" w:styleId="Footer">
    <w:name w:val="footer"/>
    <w:basedOn w:val="Normal"/>
    <w:link w:val="FooterChar"/>
    <w:uiPriority w:val="99"/>
    <w:unhideWhenUsed/>
    <w:rsid w:val="00C0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D1"/>
    <w:rPr>
      <w:sz w:val="28"/>
    </w:rPr>
  </w:style>
  <w:style w:type="character" w:styleId="PageNumber">
    <w:name w:val="page number"/>
    <w:basedOn w:val="DefaultParagraphFont"/>
    <w:uiPriority w:val="99"/>
    <w:semiHidden/>
    <w:unhideWhenUsed/>
    <w:rsid w:val="00C04BD1"/>
  </w:style>
  <w:style w:type="character" w:styleId="FollowedHyperlink">
    <w:name w:val="FollowedHyperlink"/>
    <w:basedOn w:val="DefaultParagraphFont"/>
    <w:uiPriority w:val="99"/>
    <w:semiHidden/>
    <w:unhideWhenUsed/>
    <w:rsid w:val="00F80465"/>
    <w:rPr>
      <w:color w:val="954F72" w:themeColor="followedHyperlink"/>
      <w:u w:val="single"/>
    </w:rPr>
  </w:style>
  <w:style w:type="paragraph" w:styleId="FootnoteText">
    <w:name w:val="footnote text"/>
    <w:basedOn w:val="Normal"/>
    <w:link w:val="FootnoteTextChar"/>
    <w:uiPriority w:val="99"/>
    <w:semiHidden/>
    <w:rsid w:val="006A127F"/>
    <w:pPr>
      <w:spacing w:after="60" w:line="240" w:lineRule="auto"/>
    </w:pPr>
    <w:rPr>
      <w:rFonts w:ascii="Times New Roman" w:eastAsia="Times New Roman" w:hAnsi="Times New Roman" w:cs="Times New Roman"/>
      <w:bCs/>
      <w:sz w:val="20"/>
      <w:szCs w:val="20"/>
    </w:rPr>
  </w:style>
  <w:style w:type="character" w:customStyle="1" w:styleId="FootnoteTextChar">
    <w:name w:val="Footnote Text Char"/>
    <w:basedOn w:val="DefaultParagraphFont"/>
    <w:link w:val="FootnoteText"/>
    <w:uiPriority w:val="99"/>
    <w:semiHidden/>
    <w:rsid w:val="006A127F"/>
    <w:rPr>
      <w:rFonts w:ascii="Times New Roman" w:eastAsia="Times New Roman" w:hAnsi="Times New Roman" w:cs="Times New Roman"/>
      <w:bCs/>
      <w:sz w:val="20"/>
      <w:szCs w:val="20"/>
    </w:rPr>
  </w:style>
  <w:style w:type="character" w:styleId="FootnoteReference">
    <w:name w:val="footnote reference"/>
    <w:basedOn w:val="DefaultParagraphFont"/>
    <w:uiPriority w:val="99"/>
    <w:semiHidden/>
    <w:rsid w:val="006A127F"/>
    <w:rPr>
      <w:rFonts w:ascii="Times New Roman" w:hAnsi="Times New Roman"/>
      <w:sz w:val="18"/>
      <w:szCs w:val="18"/>
      <w:vertAlign w:val="superscript"/>
    </w:rPr>
  </w:style>
  <w:style w:type="paragraph" w:styleId="CommentText">
    <w:name w:val="annotation text"/>
    <w:basedOn w:val="Normal"/>
    <w:link w:val="CommentTextChar"/>
    <w:uiPriority w:val="99"/>
    <w:unhideWhenUsed/>
    <w:rsid w:val="006A127F"/>
    <w:pPr>
      <w:spacing w:after="200" w:line="240" w:lineRule="auto"/>
    </w:pPr>
    <w:rPr>
      <w:rFonts w:ascii="Times New Roman" w:eastAsiaTheme="minorEastAsia" w:hAnsi="Times New Roman"/>
      <w:sz w:val="20"/>
      <w:szCs w:val="20"/>
      <w:lang w:eastAsia="ja-JP"/>
    </w:rPr>
  </w:style>
  <w:style w:type="character" w:customStyle="1" w:styleId="CommentTextChar">
    <w:name w:val="Comment Text Char"/>
    <w:basedOn w:val="DefaultParagraphFont"/>
    <w:link w:val="CommentText"/>
    <w:uiPriority w:val="99"/>
    <w:rsid w:val="006A127F"/>
    <w:rPr>
      <w:rFonts w:ascii="Times New Roman" w:eastAsiaTheme="minorEastAsia" w:hAnsi="Times New Roman"/>
      <w:sz w:val="20"/>
      <w:szCs w:val="20"/>
      <w:lang w:eastAsia="ja-JP"/>
    </w:rPr>
  </w:style>
  <w:style w:type="character" w:styleId="CommentReference">
    <w:name w:val="annotation reference"/>
    <w:basedOn w:val="DefaultParagraphFont"/>
    <w:uiPriority w:val="99"/>
    <w:semiHidden/>
    <w:unhideWhenUsed/>
    <w:rsid w:val="006A12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870">
      <w:bodyDiv w:val="1"/>
      <w:marLeft w:val="0"/>
      <w:marRight w:val="0"/>
      <w:marTop w:val="0"/>
      <w:marBottom w:val="0"/>
      <w:divBdr>
        <w:top w:val="none" w:sz="0" w:space="0" w:color="auto"/>
        <w:left w:val="none" w:sz="0" w:space="0" w:color="auto"/>
        <w:bottom w:val="none" w:sz="0" w:space="0" w:color="auto"/>
        <w:right w:val="none" w:sz="0" w:space="0" w:color="auto"/>
      </w:divBdr>
      <w:divsChild>
        <w:div w:id="695279850">
          <w:marLeft w:val="0"/>
          <w:marRight w:val="0"/>
          <w:marTop w:val="0"/>
          <w:marBottom w:val="0"/>
          <w:divBdr>
            <w:top w:val="none" w:sz="0" w:space="0" w:color="auto"/>
            <w:left w:val="none" w:sz="0" w:space="0" w:color="auto"/>
            <w:bottom w:val="none" w:sz="0" w:space="0" w:color="auto"/>
            <w:right w:val="none" w:sz="0" w:space="0" w:color="auto"/>
          </w:divBdr>
          <w:divsChild>
            <w:div w:id="1997612649">
              <w:marLeft w:val="0"/>
              <w:marRight w:val="0"/>
              <w:marTop w:val="0"/>
              <w:marBottom w:val="0"/>
              <w:divBdr>
                <w:top w:val="none" w:sz="0" w:space="0" w:color="auto"/>
                <w:left w:val="none" w:sz="0" w:space="0" w:color="auto"/>
                <w:bottom w:val="none" w:sz="0" w:space="0" w:color="auto"/>
                <w:right w:val="none" w:sz="0" w:space="0" w:color="auto"/>
              </w:divBdr>
              <w:divsChild>
                <w:div w:id="1536384713">
                  <w:marLeft w:val="0"/>
                  <w:marRight w:val="0"/>
                  <w:marTop w:val="0"/>
                  <w:marBottom w:val="0"/>
                  <w:divBdr>
                    <w:top w:val="none" w:sz="0" w:space="0" w:color="auto"/>
                    <w:left w:val="none" w:sz="0" w:space="0" w:color="auto"/>
                    <w:bottom w:val="none" w:sz="0" w:space="0" w:color="auto"/>
                    <w:right w:val="none" w:sz="0" w:space="0" w:color="auto"/>
                  </w:divBdr>
                  <w:divsChild>
                    <w:div w:id="412092469">
                      <w:marLeft w:val="0"/>
                      <w:marRight w:val="0"/>
                      <w:marTop w:val="0"/>
                      <w:marBottom w:val="0"/>
                      <w:divBdr>
                        <w:top w:val="none" w:sz="0" w:space="0" w:color="auto"/>
                        <w:left w:val="none" w:sz="0" w:space="0" w:color="auto"/>
                        <w:bottom w:val="none" w:sz="0" w:space="0" w:color="auto"/>
                        <w:right w:val="none" w:sz="0" w:space="0" w:color="auto"/>
                      </w:divBdr>
                      <w:divsChild>
                        <w:div w:id="1081101154">
                          <w:marLeft w:val="0"/>
                          <w:marRight w:val="0"/>
                          <w:marTop w:val="0"/>
                          <w:marBottom w:val="0"/>
                          <w:divBdr>
                            <w:top w:val="none" w:sz="0" w:space="0" w:color="auto"/>
                            <w:left w:val="none" w:sz="0" w:space="0" w:color="auto"/>
                            <w:bottom w:val="none" w:sz="0" w:space="0" w:color="auto"/>
                            <w:right w:val="none" w:sz="0" w:space="0" w:color="auto"/>
                          </w:divBdr>
                          <w:divsChild>
                            <w:div w:id="2109544828">
                              <w:marLeft w:val="0"/>
                              <w:marRight w:val="0"/>
                              <w:marTop w:val="0"/>
                              <w:marBottom w:val="0"/>
                              <w:divBdr>
                                <w:top w:val="none" w:sz="0" w:space="0" w:color="auto"/>
                                <w:left w:val="none" w:sz="0" w:space="0" w:color="auto"/>
                                <w:bottom w:val="none" w:sz="0" w:space="0" w:color="auto"/>
                                <w:right w:val="none" w:sz="0" w:space="0" w:color="auto"/>
                              </w:divBdr>
                              <w:divsChild>
                                <w:div w:id="14758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29924">
          <w:marLeft w:val="0"/>
          <w:marRight w:val="0"/>
          <w:marTop w:val="0"/>
          <w:marBottom w:val="0"/>
          <w:divBdr>
            <w:top w:val="none" w:sz="0" w:space="0" w:color="auto"/>
            <w:left w:val="none" w:sz="0" w:space="0" w:color="auto"/>
            <w:bottom w:val="none" w:sz="0" w:space="0" w:color="auto"/>
            <w:right w:val="none" w:sz="0" w:space="0" w:color="auto"/>
          </w:divBdr>
          <w:divsChild>
            <w:div w:id="1578899751">
              <w:marLeft w:val="0"/>
              <w:marRight w:val="0"/>
              <w:marTop w:val="0"/>
              <w:marBottom w:val="0"/>
              <w:divBdr>
                <w:top w:val="none" w:sz="0" w:space="0" w:color="auto"/>
                <w:left w:val="none" w:sz="0" w:space="0" w:color="auto"/>
                <w:bottom w:val="none" w:sz="0" w:space="0" w:color="auto"/>
                <w:right w:val="none" w:sz="0" w:space="0" w:color="auto"/>
              </w:divBdr>
              <w:divsChild>
                <w:div w:id="353924340">
                  <w:marLeft w:val="0"/>
                  <w:marRight w:val="0"/>
                  <w:marTop w:val="0"/>
                  <w:marBottom w:val="0"/>
                  <w:divBdr>
                    <w:top w:val="none" w:sz="0" w:space="0" w:color="auto"/>
                    <w:left w:val="none" w:sz="0" w:space="0" w:color="auto"/>
                    <w:bottom w:val="none" w:sz="0" w:space="0" w:color="auto"/>
                    <w:right w:val="none" w:sz="0" w:space="0" w:color="auto"/>
                  </w:divBdr>
                  <w:divsChild>
                    <w:div w:id="516889856">
                      <w:marLeft w:val="0"/>
                      <w:marRight w:val="0"/>
                      <w:marTop w:val="0"/>
                      <w:marBottom w:val="0"/>
                      <w:divBdr>
                        <w:top w:val="none" w:sz="0" w:space="0" w:color="auto"/>
                        <w:left w:val="none" w:sz="0" w:space="0" w:color="auto"/>
                        <w:bottom w:val="none" w:sz="0" w:space="0" w:color="auto"/>
                        <w:right w:val="none" w:sz="0" w:space="0" w:color="auto"/>
                      </w:divBdr>
                      <w:divsChild>
                        <w:div w:id="729965566">
                          <w:marLeft w:val="0"/>
                          <w:marRight w:val="0"/>
                          <w:marTop w:val="0"/>
                          <w:marBottom w:val="0"/>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sChild>
                                <w:div w:id="931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241392">
      <w:bodyDiv w:val="1"/>
      <w:marLeft w:val="0"/>
      <w:marRight w:val="0"/>
      <w:marTop w:val="0"/>
      <w:marBottom w:val="0"/>
      <w:divBdr>
        <w:top w:val="none" w:sz="0" w:space="0" w:color="auto"/>
        <w:left w:val="none" w:sz="0" w:space="0" w:color="auto"/>
        <w:bottom w:val="none" w:sz="0" w:space="0" w:color="auto"/>
        <w:right w:val="none" w:sz="0" w:space="0" w:color="auto"/>
      </w:divBdr>
      <w:divsChild>
        <w:div w:id="18554722">
          <w:marLeft w:val="0"/>
          <w:marRight w:val="0"/>
          <w:marTop w:val="0"/>
          <w:marBottom w:val="0"/>
          <w:divBdr>
            <w:top w:val="none" w:sz="0" w:space="0" w:color="auto"/>
            <w:left w:val="none" w:sz="0" w:space="0" w:color="auto"/>
            <w:bottom w:val="none" w:sz="0" w:space="0" w:color="auto"/>
            <w:right w:val="none" w:sz="0" w:space="0" w:color="auto"/>
          </w:divBdr>
          <w:divsChild>
            <w:div w:id="1870482978">
              <w:marLeft w:val="0"/>
              <w:marRight w:val="0"/>
              <w:marTop w:val="0"/>
              <w:marBottom w:val="0"/>
              <w:divBdr>
                <w:top w:val="none" w:sz="0" w:space="0" w:color="auto"/>
                <w:left w:val="none" w:sz="0" w:space="0" w:color="auto"/>
                <w:bottom w:val="none" w:sz="0" w:space="0" w:color="auto"/>
                <w:right w:val="none" w:sz="0" w:space="0" w:color="auto"/>
              </w:divBdr>
              <w:divsChild>
                <w:div w:id="1537154416">
                  <w:marLeft w:val="0"/>
                  <w:marRight w:val="0"/>
                  <w:marTop w:val="0"/>
                  <w:marBottom w:val="0"/>
                  <w:divBdr>
                    <w:top w:val="none" w:sz="0" w:space="0" w:color="auto"/>
                    <w:left w:val="none" w:sz="0" w:space="0" w:color="auto"/>
                    <w:bottom w:val="none" w:sz="0" w:space="0" w:color="auto"/>
                    <w:right w:val="none" w:sz="0" w:space="0" w:color="auto"/>
                  </w:divBdr>
                  <w:divsChild>
                    <w:div w:id="1899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9087">
              <w:marLeft w:val="0"/>
              <w:marRight w:val="0"/>
              <w:marTop w:val="0"/>
              <w:marBottom w:val="0"/>
              <w:divBdr>
                <w:top w:val="none" w:sz="0" w:space="0" w:color="auto"/>
                <w:left w:val="none" w:sz="0" w:space="0" w:color="auto"/>
                <w:bottom w:val="none" w:sz="0" w:space="0" w:color="auto"/>
                <w:right w:val="none" w:sz="0" w:space="0" w:color="auto"/>
              </w:divBdr>
            </w:div>
          </w:divsChild>
        </w:div>
        <w:div w:id="670067404">
          <w:marLeft w:val="0"/>
          <w:marRight w:val="0"/>
          <w:marTop w:val="0"/>
          <w:marBottom w:val="0"/>
          <w:divBdr>
            <w:top w:val="none" w:sz="0" w:space="0" w:color="auto"/>
            <w:left w:val="none" w:sz="0" w:space="0" w:color="auto"/>
            <w:bottom w:val="none" w:sz="0" w:space="0" w:color="auto"/>
            <w:right w:val="none" w:sz="0" w:space="0" w:color="auto"/>
          </w:divBdr>
          <w:divsChild>
            <w:div w:id="1547528103">
              <w:marLeft w:val="0"/>
              <w:marRight w:val="0"/>
              <w:marTop w:val="0"/>
              <w:marBottom w:val="0"/>
              <w:divBdr>
                <w:top w:val="none" w:sz="0" w:space="0" w:color="auto"/>
                <w:left w:val="none" w:sz="0" w:space="0" w:color="auto"/>
                <w:bottom w:val="none" w:sz="0" w:space="0" w:color="auto"/>
                <w:right w:val="none" w:sz="0" w:space="0" w:color="auto"/>
              </w:divBdr>
              <w:divsChild>
                <w:div w:id="132866951">
                  <w:marLeft w:val="0"/>
                  <w:marRight w:val="0"/>
                  <w:marTop w:val="0"/>
                  <w:marBottom w:val="0"/>
                  <w:divBdr>
                    <w:top w:val="none" w:sz="0" w:space="0" w:color="auto"/>
                    <w:left w:val="none" w:sz="0" w:space="0" w:color="auto"/>
                    <w:bottom w:val="none" w:sz="0" w:space="0" w:color="auto"/>
                    <w:right w:val="none" w:sz="0" w:space="0" w:color="auto"/>
                  </w:divBdr>
                  <w:divsChild>
                    <w:div w:id="1526021895">
                      <w:marLeft w:val="0"/>
                      <w:marRight w:val="0"/>
                      <w:marTop w:val="0"/>
                      <w:marBottom w:val="360"/>
                      <w:divBdr>
                        <w:top w:val="none" w:sz="0" w:space="0" w:color="auto"/>
                        <w:left w:val="none" w:sz="0" w:space="0" w:color="auto"/>
                        <w:bottom w:val="none" w:sz="0" w:space="0" w:color="auto"/>
                        <w:right w:val="none" w:sz="0" w:space="0" w:color="auto"/>
                      </w:divBdr>
                      <w:divsChild>
                        <w:div w:id="906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959058">
      <w:bodyDiv w:val="1"/>
      <w:marLeft w:val="0"/>
      <w:marRight w:val="0"/>
      <w:marTop w:val="0"/>
      <w:marBottom w:val="0"/>
      <w:divBdr>
        <w:top w:val="none" w:sz="0" w:space="0" w:color="auto"/>
        <w:left w:val="none" w:sz="0" w:space="0" w:color="auto"/>
        <w:bottom w:val="none" w:sz="0" w:space="0" w:color="auto"/>
        <w:right w:val="none" w:sz="0" w:space="0" w:color="auto"/>
      </w:divBdr>
    </w:div>
    <w:div w:id="21292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1772</Words>
  <Characters>8687</Characters>
  <Application>Microsoft Office Word</Application>
  <DocSecurity>0</DocSecurity>
  <Lines>197</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Miller</dc:creator>
  <cp:keywords/>
  <dc:description/>
  <cp:lastModifiedBy>Cheryl A Miller</cp:lastModifiedBy>
  <cp:revision>3</cp:revision>
  <dcterms:created xsi:type="dcterms:W3CDTF">2023-08-17T16:58:00Z</dcterms:created>
  <dcterms:modified xsi:type="dcterms:W3CDTF">2023-08-17T16:59:00Z</dcterms:modified>
</cp:coreProperties>
</file>